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9B4A0">
      <w:pPr>
        <w:jc w:val="center"/>
        <w:rPr>
          <w:rFonts w:hint="eastAsia" w:ascii="宋体" w:hAnsi="宋体"/>
          <w:b/>
          <w:bCs/>
          <w:color w:val="auto"/>
          <w:sz w:val="32"/>
          <w:szCs w:val="32"/>
          <w:highlight w:val="none"/>
          <w:u w:val="none"/>
        </w:rPr>
      </w:pPr>
      <w:r>
        <w:rPr>
          <w:rFonts w:hint="eastAsia" w:ascii="宋体" w:hAnsi="宋体"/>
          <w:b/>
          <w:bCs/>
          <w:color w:val="auto"/>
          <w:sz w:val="32"/>
          <w:szCs w:val="32"/>
          <w:highlight w:val="none"/>
          <w:u w:val="none"/>
        </w:rPr>
        <w:t>东莞市新东欣环保投资有限公司2025-2026年度危废运输</w:t>
      </w:r>
    </w:p>
    <w:p w14:paraId="282E0EBB">
      <w:pPr>
        <w:jc w:val="center"/>
        <w:rPr>
          <w:rFonts w:hint="eastAsia" w:ascii="宋体" w:hAnsi="宋体" w:eastAsia="宋体"/>
          <w:b/>
          <w:bCs/>
          <w:color w:val="auto"/>
          <w:sz w:val="32"/>
          <w:szCs w:val="32"/>
          <w:highlight w:val="none"/>
          <w:u w:val="none"/>
          <w:lang w:val="en-US" w:eastAsia="zh-CN"/>
        </w:rPr>
      </w:pPr>
      <w:r>
        <w:rPr>
          <w:rFonts w:hint="eastAsia" w:ascii="宋体" w:hAnsi="宋体"/>
          <w:b/>
          <w:bCs/>
          <w:color w:val="auto"/>
          <w:sz w:val="32"/>
          <w:szCs w:val="32"/>
          <w:highlight w:val="none"/>
          <w:u w:val="none"/>
        </w:rPr>
        <w:t>服务项目（第三次采购）</w:t>
      </w:r>
      <w:r>
        <w:rPr>
          <w:rFonts w:hint="eastAsia" w:ascii="宋体" w:hAnsi="宋体"/>
          <w:b/>
          <w:bCs/>
          <w:color w:val="auto"/>
          <w:sz w:val="32"/>
          <w:szCs w:val="32"/>
          <w:highlight w:val="none"/>
          <w:u w:val="none"/>
          <w:lang w:val="en-US" w:eastAsia="zh-CN"/>
        </w:rPr>
        <w:t>采购公告</w:t>
      </w:r>
    </w:p>
    <w:p w14:paraId="40393509">
      <w:pPr>
        <w:ind w:firstLine="422" w:firstLineChars="200"/>
        <w:jc w:val="both"/>
        <w:rPr>
          <w:rFonts w:hint="eastAsia" w:ascii="宋体" w:hAnsi="宋体"/>
          <w:b/>
          <w:bCs/>
          <w:color w:val="auto"/>
          <w:szCs w:val="21"/>
          <w:highlight w:val="none"/>
          <w:u w:val="single"/>
        </w:rPr>
      </w:pPr>
    </w:p>
    <w:p w14:paraId="7A3EBC56">
      <w:pPr>
        <w:ind w:firstLine="422" w:firstLineChars="200"/>
        <w:jc w:val="both"/>
        <w:rPr>
          <w:rFonts w:ascii="宋体" w:hAnsi="宋体"/>
          <w:color w:val="auto"/>
          <w:szCs w:val="21"/>
          <w:highlight w:val="none"/>
        </w:rPr>
      </w:pPr>
      <w:r>
        <w:rPr>
          <w:rFonts w:hint="eastAsia" w:ascii="宋体" w:hAnsi="宋体"/>
          <w:b/>
          <w:bCs/>
          <w:color w:val="auto"/>
          <w:szCs w:val="21"/>
          <w:highlight w:val="none"/>
          <w:u w:val="single"/>
        </w:rPr>
        <w:t>广东建瀚工程管理有限公司</w:t>
      </w:r>
      <w:r>
        <w:rPr>
          <w:rFonts w:ascii="宋体" w:hAnsi="宋体"/>
          <w:color w:val="auto"/>
          <w:szCs w:val="21"/>
          <w:highlight w:val="none"/>
        </w:rPr>
        <w:t>（以下简称</w:t>
      </w:r>
      <w:r>
        <w:rPr>
          <w:rFonts w:hint="eastAsia" w:ascii="宋体" w:hAnsi="宋体"/>
          <w:color w:val="auto"/>
          <w:szCs w:val="21"/>
          <w:highlight w:val="none"/>
        </w:rPr>
        <w:t>“采购代理机构”</w:t>
      </w:r>
      <w:r>
        <w:rPr>
          <w:rFonts w:ascii="宋体" w:hAnsi="宋体"/>
          <w:color w:val="auto"/>
          <w:szCs w:val="21"/>
          <w:highlight w:val="none"/>
        </w:rPr>
        <w:t>）受</w:t>
      </w:r>
      <w:r>
        <w:rPr>
          <w:rFonts w:hint="eastAsia" w:ascii="宋体" w:hAnsi="宋体"/>
          <w:b/>
          <w:color w:val="auto"/>
          <w:szCs w:val="21"/>
          <w:highlight w:val="none"/>
          <w:u w:val="single"/>
        </w:rPr>
        <w:t>东莞市新东欣环保投资有限公司</w:t>
      </w:r>
      <w:r>
        <w:rPr>
          <w:rFonts w:ascii="宋体" w:hAnsi="宋体"/>
          <w:color w:val="auto"/>
          <w:szCs w:val="21"/>
          <w:highlight w:val="none"/>
        </w:rPr>
        <w:t>（以下简称</w:t>
      </w:r>
      <w:r>
        <w:rPr>
          <w:rFonts w:hint="eastAsia" w:ascii="宋体" w:hAnsi="宋体"/>
          <w:color w:val="auto"/>
          <w:szCs w:val="21"/>
          <w:highlight w:val="none"/>
        </w:rPr>
        <w:t>“采购人”</w:t>
      </w:r>
      <w:r>
        <w:rPr>
          <w:rFonts w:ascii="宋体" w:hAnsi="宋体"/>
          <w:color w:val="auto"/>
          <w:szCs w:val="21"/>
          <w:highlight w:val="none"/>
        </w:rPr>
        <w:t>）委托，</w:t>
      </w:r>
      <w:r>
        <w:rPr>
          <w:rFonts w:hint="eastAsia" w:ascii="宋体" w:hAnsi="宋体"/>
          <w:color w:val="auto"/>
          <w:szCs w:val="21"/>
          <w:highlight w:val="none"/>
        </w:rPr>
        <w:t>现</w:t>
      </w:r>
      <w:r>
        <w:rPr>
          <w:rFonts w:ascii="宋体" w:hAnsi="宋体"/>
          <w:color w:val="auto"/>
          <w:szCs w:val="21"/>
          <w:highlight w:val="none"/>
        </w:rPr>
        <w:t>就</w:t>
      </w:r>
      <w:r>
        <w:rPr>
          <w:rFonts w:hint="eastAsia" w:ascii="宋体" w:hAnsi="宋体"/>
          <w:b/>
          <w:color w:val="auto"/>
          <w:szCs w:val="21"/>
          <w:highlight w:val="none"/>
          <w:u w:val="single"/>
          <w:lang w:eastAsia="zh-CN"/>
        </w:rPr>
        <w:t>东莞市新东欣环保投资有限公司2025-2026年度危废运输服务项目（第三次采购）</w:t>
      </w:r>
      <w:r>
        <w:rPr>
          <w:rFonts w:hint="eastAsia" w:ascii="宋体" w:hAnsi="宋体"/>
          <w:color w:val="auto"/>
          <w:szCs w:val="21"/>
          <w:highlight w:val="none"/>
        </w:rPr>
        <w:t>（项目编号：</w:t>
      </w:r>
      <w:r>
        <w:rPr>
          <w:rFonts w:hint="eastAsia" w:ascii="宋体" w:hAnsi="宋体"/>
          <w:b/>
          <w:bCs/>
          <w:color w:val="auto"/>
          <w:szCs w:val="21"/>
          <w:highlight w:val="none"/>
          <w:lang w:eastAsia="zh-CN"/>
        </w:rPr>
        <w:t>XDX-GK-2024-003</w:t>
      </w:r>
      <w:r>
        <w:rPr>
          <w:rFonts w:hint="eastAsia" w:ascii="宋体" w:hAnsi="宋体"/>
          <w:color w:val="auto"/>
          <w:szCs w:val="21"/>
          <w:highlight w:val="none"/>
        </w:rPr>
        <w:t>）</w:t>
      </w:r>
      <w:r>
        <w:rPr>
          <w:rFonts w:hint="eastAsia" w:ascii="宋体" w:hAnsi="宋体" w:cs="Times New Roman"/>
          <w:color w:val="auto"/>
          <w:szCs w:val="21"/>
          <w:highlight w:val="none"/>
        </w:rPr>
        <w:t>进行国内公开采购</w:t>
      </w:r>
      <w:r>
        <w:rPr>
          <w:rFonts w:hint="eastAsia" w:ascii="宋体" w:hAnsi="宋体"/>
          <w:color w:val="auto"/>
          <w:szCs w:val="21"/>
          <w:highlight w:val="none"/>
        </w:rPr>
        <w:t>，欢迎符合采购文件要求的国内投标人参加投标</w:t>
      </w:r>
      <w:r>
        <w:rPr>
          <w:rFonts w:ascii="宋体" w:hAnsi="宋体"/>
          <w:color w:val="auto"/>
          <w:szCs w:val="21"/>
          <w:highlight w:val="none"/>
        </w:rPr>
        <w:t>。有关事项如下：</w:t>
      </w:r>
    </w:p>
    <w:p w14:paraId="012F3E9F">
      <w:pPr>
        <w:ind w:firstLine="413" w:firstLineChars="196"/>
        <w:jc w:val="both"/>
        <w:rPr>
          <w:rFonts w:ascii="宋体" w:hAnsi="宋体"/>
          <w:b/>
          <w:color w:val="auto"/>
          <w:szCs w:val="21"/>
          <w:highlight w:val="none"/>
        </w:rPr>
      </w:pPr>
    </w:p>
    <w:p w14:paraId="43579691">
      <w:pPr>
        <w:ind w:firstLine="413"/>
        <w:jc w:val="both"/>
        <w:rPr>
          <w:rFonts w:ascii="宋体" w:hAnsi="宋体"/>
          <w:b/>
          <w:color w:val="auto"/>
          <w:szCs w:val="21"/>
          <w:highlight w:val="none"/>
        </w:rPr>
      </w:pPr>
      <w:r>
        <w:rPr>
          <w:rFonts w:hint="eastAsia" w:ascii="宋体" w:hAnsi="宋体"/>
          <w:b/>
          <w:color w:val="auto"/>
          <w:szCs w:val="21"/>
          <w:highlight w:val="none"/>
        </w:rPr>
        <w:t>一、采购项目概况</w:t>
      </w:r>
    </w:p>
    <w:p w14:paraId="228EF8F0">
      <w:pPr>
        <w:ind w:firstLine="420" w:firstLineChars="200"/>
        <w:jc w:val="both"/>
        <w:rPr>
          <w:rFonts w:hint="eastAsia" w:ascii="宋体" w:hAnsi="宋体"/>
          <w:b w:val="0"/>
          <w:bCs/>
          <w:color w:val="auto"/>
          <w:szCs w:val="21"/>
          <w:highlight w:val="none"/>
          <w:u w:val="single"/>
          <w:lang w:eastAsia="zh-CN"/>
        </w:rPr>
      </w:pPr>
      <w:r>
        <w:rPr>
          <w:rFonts w:ascii="宋体" w:hAnsi="宋体"/>
          <w:color w:val="auto"/>
          <w:szCs w:val="21"/>
          <w:highlight w:val="none"/>
        </w:rPr>
        <w:t>1</w:t>
      </w:r>
      <w:r>
        <w:rPr>
          <w:rFonts w:hint="eastAsia" w:ascii="宋体" w:hAnsi="宋体"/>
          <w:color w:val="auto"/>
          <w:szCs w:val="21"/>
          <w:highlight w:val="none"/>
        </w:rPr>
        <w:t>、采购</w:t>
      </w:r>
      <w:r>
        <w:rPr>
          <w:rFonts w:ascii="宋体" w:hAnsi="宋体"/>
          <w:color w:val="auto"/>
          <w:szCs w:val="21"/>
          <w:highlight w:val="none"/>
        </w:rPr>
        <w:t>项目名称</w:t>
      </w:r>
      <w:r>
        <w:rPr>
          <w:rFonts w:hint="eastAsia" w:ascii="宋体" w:hAnsi="宋体"/>
          <w:color w:val="auto"/>
          <w:szCs w:val="21"/>
          <w:highlight w:val="none"/>
        </w:rPr>
        <w:t>：</w:t>
      </w:r>
      <w:r>
        <w:rPr>
          <w:rFonts w:hint="eastAsia" w:ascii="宋体" w:hAnsi="宋体"/>
          <w:b w:val="0"/>
          <w:bCs/>
          <w:color w:val="auto"/>
          <w:szCs w:val="21"/>
          <w:highlight w:val="none"/>
          <w:u w:val="single"/>
          <w:lang w:eastAsia="zh-CN"/>
        </w:rPr>
        <w:t>东莞市新东欣环保投资有限公司2025-2026年度危废运输服务项目（第三次采购）</w:t>
      </w:r>
    </w:p>
    <w:p w14:paraId="6003DDA1">
      <w:pPr>
        <w:ind w:firstLine="420" w:firstLineChars="200"/>
        <w:jc w:val="both"/>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预算金额（</w:t>
      </w:r>
      <w:r>
        <w:rPr>
          <w:rFonts w:hint="eastAsia" w:ascii="宋体" w:hAnsi="宋体"/>
          <w:color w:val="auto"/>
          <w:szCs w:val="21"/>
          <w:highlight w:val="none"/>
        </w:rPr>
        <w:t>元</w:t>
      </w:r>
      <w:r>
        <w:rPr>
          <w:rFonts w:ascii="宋体" w:hAnsi="宋体"/>
          <w:color w:val="auto"/>
          <w:szCs w:val="21"/>
          <w:highlight w:val="none"/>
        </w:rPr>
        <w:t>）</w:t>
      </w:r>
      <w:r>
        <w:rPr>
          <w:rFonts w:hint="eastAsia" w:ascii="宋体" w:hAnsi="宋体"/>
          <w:color w:val="auto"/>
          <w:szCs w:val="21"/>
          <w:highlight w:val="none"/>
        </w:rPr>
        <w:t>：</w:t>
      </w:r>
      <w:r>
        <w:rPr>
          <w:rFonts w:hint="eastAsia" w:ascii="宋体" w:hAnsi="宋体"/>
          <w:color w:val="auto"/>
          <w:szCs w:val="21"/>
          <w:highlight w:val="none"/>
          <w:u w:val="single"/>
        </w:rPr>
        <w:t>本项目年度总预算额为</w:t>
      </w:r>
      <w:r>
        <w:rPr>
          <w:rFonts w:hint="eastAsia" w:ascii="宋体" w:hAnsi="宋体"/>
          <w:color w:val="auto"/>
          <w:szCs w:val="21"/>
          <w:highlight w:val="none"/>
          <w:u w:val="single"/>
          <w:lang w:val="en-US" w:eastAsia="zh-CN"/>
        </w:rPr>
        <w:t>995</w:t>
      </w:r>
      <w:r>
        <w:rPr>
          <w:rFonts w:hint="eastAsia" w:ascii="宋体" w:hAnsi="宋体"/>
          <w:color w:val="auto"/>
          <w:szCs w:val="21"/>
          <w:highlight w:val="none"/>
          <w:u w:val="single"/>
        </w:rPr>
        <w:t>万元（含运输杂费及搬运费等，相关标准见</w:t>
      </w:r>
      <w:r>
        <w:rPr>
          <w:rFonts w:hint="eastAsia" w:ascii="宋体" w:hAnsi="宋体"/>
          <w:color w:val="auto"/>
          <w:szCs w:val="21"/>
          <w:highlight w:val="none"/>
          <w:u w:val="single"/>
          <w:lang w:val="en-US" w:eastAsia="zh-CN"/>
        </w:rPr>
        <w:t>技术需求书</w:t>
      </w:r>
      <w:r>
        <w:rPr>
          <w:rFonts w:hint="eastAsia" w:ascii="宋体" w:hAnsi="宋体"/>
          <w:color w:val="auto"/>
          <w:szCs w:val="21"/>
          <w:highlight w:val="none"/>
          <w:u w:val="single"/>
        </w:rPr>
        <w:t>附件</w:t>
      </w:r>
      <w:r>
        <w:rPr>
          <w:rFonts w:hint="eastAsia" w:ascii="宋体" w:hAnsi="宋体"/>
          <w:color w:val="auto"/>
          <w:szCs w:val="21"/>
          <w:highlight w:val="none"/>
          <w:u w:val="single"/>
          <w:lang w:val="en-US" w:eastAsia="zh-CN"/>
        </w:rPr>
        <w:t>4</w:t>
      </w:r>
      <w:r>
        <w:rPr>
          <w:rFonts w:hint="eastAsia" w:ascii="宋体" w:hAnsi="宋体"/>
          <w:color w:val="auto"/>
          <w:szCs w:val="21"/>
          <w:highlight w:val="none"/>
          <w:u w:val="single"/>
        </w:rPr>
        <w:t>《运输杂费及计费规则》和</w:t>
      </w:r>
      <w:r>
        <w:rPr>
          <w:rFonts w:hint="eastAsia" w:ascii="宋体" w:hAnsi="宋体"/>
          <w:color w:val="auto"/>
          <w:szCs w:val="21"/>
          <w:highlight w:val="none"/>
          <w:u w:val="single"/>
          <w:lang w:val="en-US" w:eastAsia="zh-CN"/>
        </w:rPr>
        <w:t>技术需求书</w:t>
      </w:r>
      <w:r>
        <w:rPr>
          <w:rFonts w:hint="eastAsia" w:ascii="宋体" w:hAnsi="宋体"/>
          <w:color w:val="auto"/>
          <w:szCs w:val="21"/>
          <w:highlight w:val="none"/>
          <w:u w:val="single"/>
        </w:rPr>
        <w:t>附件</w:t>
      </w:r>
      <w:r>
        <w:rPr>
          <w:rFonts w:hint="eastAsia" w:ascii="宋体" w:hAnsi="宋体"/>
          <w:color w:val="auto"/>
          <w:szCs w:val="21"/>
          <w:highlight w:val="none"/>
          <w:u w:val="single"/>
          <w:lang w:val="en-US" w:eastAsia="zh-CN"/>
        </w:rPr>
        <w:t>7</w:t>
      </w:r>
      <w:r>
        <w:rPr>
          <w:rFonts w:hint="eastAsia" w:ascii="宋体" w:hAnsi="宋体"/>
          <w:color w:val="auto"/>
          <w:szCs w:val="21"/>
          <w:highlight w:val="none"/>
          <w:u w:val="single"/>
        </w:rPr>
        <w:t>《运输单位搬运费分级标准》，最终以实际实施情况为准）</w:t>
      </w:r>
    </w:p>
    <w:p w14:paraId="1D59D8B8">
      <w:pPr>
        <w:ind w:firstLine="420" w:firstLineChars="200"/>
        <w:jc w:val="both"/>
        <w:rPr>
          <w:rFonts w:ascii="宋体" w:hAnsi="宋体"/>
          <w:color w:val="auto"/>
          <w:szCs w:val="21"/>
          <w:highlight w:val="none"/>
        </w:rPr>
      </w:pPr>
      <w:r>
        <w:rPr>
          <w:rFonts w:hint="eastAsia" w:ascii="宋体" w:hAnsi="宋体"/>
          <w:color w:val="auto"/>
          <w:szCs w:val="21"/>
          <w:highlight w:val="none"/>
        </w:rPr>
        <w:t>3、最高</w:t>
      </w:r>
      <w:r>
        <w:rPr>
          <w:rFonts w:ascii="宋体" w:hAnsi="宋体"/>
          <w:color w:val="auto"/>
          <w:szCs w:val="21"/>
          <w:highlight w:val="none"/>
        </w:rPr>
        <w:t>限价</w:t>
      </w:r>
      <w:r>
        <w:rPr>
          <w:rFonts w:hint="eastAsia" w:ascii="宋体" w:hAnsi="宋体"/>
          <w:color w:val="auto"/>
          <w:szCs w:val="21"/>
          <w:highlight w:val="none"/>
        </w:rPr>
        <w:t>（元）</w:t>
      </w:r>
      <w:r>
        <w:rPr>
          <w:rFonts w:ascii="宋体" w:hAnsi="宋体"/>
          <w:color w:val="auto"/>
          <w:szCs w:val="21"/>
          <w:highlight w:val="none"/>
        </w:rPr>
        <w:t>：</w:t>
      </w:r>
      <w:r>
        <w:rPr>
          <w:rFonts w:hint="eastAsia" w:ascii="宋体" w:hAnsi="宋体"/>
          <w:color w:val="auto"/>
          <w:szCs w:val="21"/>
          <w:highlight w:val="none"/>
          <w:u w:val="single"/>
        </w:rPr>
        <w:t>详见附件 《</w:t>
      </w:r>
      <w:r>
        <w:rPr>
          <w:rFonts w:hint="eastAsia" w:ascii="宋体" w:hAnsi="宋体"/>
          <w:color w:val="auto"/>
          <w:szCs w:val="21"/>
          <w:highlight w:val="none"/>
          <w:u w:val="single"/>
          <w:lang w:eastAsia="zh-CN"/>
        </w:rPr>
        <w:t>危险废物运输费单价表</w:t>
      </w:r>
      <w:r>
        <w:rPr>
          <w:rFonts w:hint="eastAsia" w:ascii="宋体" w:hAnsi="宋体"/>
          <w:color w:val="auto"/>
          <w:szCs w:val="21"/>
          <w:highlight w:val="none"/>
          <w:u w:val="single"/>
        </w:rPr>
        <w:t>》</w:t>
      </w:r>
    </w:p>
    <w:p w14:paraId="480956BC">
      <w:pPr>
        <w:ind w:firstLine="420" w:firstLineChars="200"/>
        <w:jc w:val="both"/>
        <w:rPr>
          <w:rFonts w:hint="eastAsia" w:ascii="宋体" w:hAnsi="宋体" w:eastAsia="宋体"/>
          <w:color w:val="auto"/>
          <w:szCs w:val="21"/>
          <w:highlight w:val="none"/>
          <w:lang w:eastAsia="zh-CN"/>
        </w:rPr>
      </w:pPr>
      <w:r>
        <w:rPr>
          <w:rFonts w:hint="eastAsia" w:ascii="宋体" w:hAnsi="宋体"/>
          <w:color w:val="auto"/>
          <w:szCs w:val="21"/>
          <w:highlight w:val="none"/>
        </w:rPr>
        <w:t>4、项目内容</w:t>
      </w:r>
      <w:r>
        <w:rPr>
          <w:rFonts w:hint="eastAsia" w:ascii="宋体" w:hAnsi="宋体"/>
          <w:color w:val="auto"/>
          <w:szCs w:val="21"/>
          <w:highlight w:val="none"/>
          <w:lang w:eastAsia="zh-CN"/>
        </w:rPr>
        <w:t>：</w:t>
      </w:r>
      <w:r>
        <w:rPr>
          <w:rFonts w:hint="eastAsia" w:ascii="宋体" w:hAnsi="宋体"/>
          <w:color w:val="auto"/>
          <w:szCs w:val="21"/>
          <w:highlight w:val="none"/>
        </w:rPr>
        <w:t>本项目分</w:t>
      </w:r>
      <w:r>
        <w:rPr>
          <w:rFonts w:hint="eastAsia" w:ascii="宋体" w:hAnsi="宋体"/>
          <w:color w:val="auto"/>
          <w:szCs w:val="21"/>
          <w:highlight w:val="none"/>
          <w:lang w:val="en-US" w:eastAsia="zh-CN"/>
        </w:rPr>
        <w:t>4</w:t>
      </w:r>
      <w:r>
        <w:rPr>
          <w:rFonts w:hint="eastAsia" w:ascii="宋体" w:hAnsi="宋体"/>
          <w:color w:val="auto"/>
          <w:szCs w:val="21"/>
          <w:highlight w:val="none"/>
        </w:rPr>
        <w:t>个包组，每个包组评选2家供应商中标（1家主要供应商和1家备选供应商），具体内容及要求详见本采购文件第三</w:t>
      </w:r>
      <w:r>
        <w:rPr>
          <w:rFonts w:hint="eastAsia" w:ascii="宋体" w:hAnsi="宋体"/>
          <w:color w:val="auto"/>
          <w:szCs w:val="21"/>
          <w:highlight w:val="none"/>
          <w:lang w:val="en-US" w:eastAsia="zh-CN"/>
        </w:rPr>
        <w:t>部分</w:t>
      </w:r>
      <w:r>
        <w:rPr>
          <w:rFonts w:hint="eastAsia" w:ascii="宋体" w:hAnsi="宋体"/>
          <w:color w:val="auto"/>
          <w:szCs w:val="21"/>
          <w:highlight w:val="none"/>
        </w:rPr>
        <w:t>用户需求书。</w:t>
      </w:r>
    </w:p>
    <w:tbl>
      <w:tblPr>
        <w:tblStyle w:val="2"/>
        <w:tblW w:w="489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2"/>
        <w:gridCol w:w="951"/>
        <w:gridCol w:w="1189"/>
        <w:gridCol w:w="3183"/>
        <w:gridCol w:w="1216"/>
        <w:gridCol w:w="1324"/>
      </w:tblGrid>
      <w:tr w14:paraId="3AA23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E37B9">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车型</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A46E9">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cs="宋体"/>
                <w:b/>
                <w:bCs/>
                <w:i w:val="0"/>
                <w:iCs w:val="0"/>
                <w:color w:val="000000"/>
                <w:kern w:val="0"/>
                <w:sz w:val="22"/>
                <w:szCs w:val="22"/>
                <w:highlight w:val="none"/>
                <w:u w:val="none"/>
                <w:lang w:val="en-US" w:eastAsia="zh-CN" w:bidi="ar"/>
              </w:rPr>
              <w:t>包组</w:t>
            </w:r>
            <w:r>
              <w:rPr>
                <w:rFonts w:hint="eastAsia" w:ascii="宋体" w:hAnsi="宋体" w:eastAsia="宋体" w:cs="宋体"/>
                <w:b/>
                <w:bCs/>
                <w:i w:val="0"/>
                <w:iCs w:val="0"/>
                <w:color w:val="000000"/>
                <w:kern w:val="0"/>
                <w:sz w:val="22"/>
                <w:szCs w:val="22"/>
                <w:highlight w:val="none"/>
                <w:u w:val="none"/>
                <w:lang w:val="en-US" w:eastAsia="zh-CN" w:bidi="ar"/>
              </w:rPr>
              <w:t>号</w:t>
            </w:r>
          </w:p>
        </w:tc>
        <w:tc>
          <w:tcPr>
            <w:tcW w:w="7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26FDB">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采购区域</w:t>
            </w:r>
          </w:p>
        </w:tc>
        <w:tc>
          <w:tcPr>
            <w:tcW w:w="1909"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623723EE">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详细说明</w:t>
            </w:r>
          </w:p>
        </w:tc>
        <w:tc>
          <w:tcPr>
            <w:tcW w:w="729" w:type="pct"/>
            <w:tcBorders>
              <w:top w:val="single" w:color="000000" w:sz="4" w:space="0"/>
              <w:left w:val="single" w:color="000000" w:sz="4" w:space="0"/>
              <w:bottom w:val="single" w:color="auto" w:sz="4" w:space="0"/>
              <w:right w:val="single" w:color="000000" w:sz="4" w:space="0"/>
            </w:tcBorders>
            <w:shd w:val="clear" w:color="auto" w:fill="auto"/>
            <w:vAlign w:val="center"/>
          </w:tcPr>
          <w:p w14:paraId="3FBBD8C7">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各标段预算（万元）</w:t>
            </w:r>
          </w:p>
        </w:tc>
        <w:tc>
          <w:tcPr>
            <w:tcW w:w="794" w:type="pct"/>
            <w:tcBorders>
              <w:top w:val="single" w:color="000000" w:sz="4" w:space="0"/>
              <w:left w:val="single" w:color="000000" w:sz="4" w:space="0"/>
              <w:bottom w:val="single" w:color="auto" w:sz="4" w:space="0"/>
              <w:right w:val="single" w:color="000000" w:sz="4" w:space="0"/>
            </w:tcBorders>
            <w:shd w:val="clear" w:color="auto" w:fill="auto"/>
            <w:vAlign w:val="center"/>
          </w:tcPr>
          <w:p w14:paraId="501CDC15">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服务期</w:t>
            </w:r>
          </w:p>
        </w:tc>
      </w:tr>
      <w:tr w14:paraId="6BCFE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86051E">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厢车</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B324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A包</w:t>
            </w:r>
          </w:p>
        </w:tc>
        <w:tc>
          <w:tcPr>
            <w:tcW w:w="713" w:type="pct"/>
            <w:tcBorders>
              <w:top w:val="single" w:color="000000" w:sz="4" w:space="0"/>
              <w:left w:val="single" w:color="000000" w:sz="4" w:space="0"/>
              <w:bottom w:val="single" w:color="000000" w:sz="4" w:space="0"/>
              <w:right w:val="single" w:color="auto" w:sz="4" w:space="0"/>
            </w:tcBorders>
            <w:shd w:val="clear" w:color="auto" w:fill="auto"/>
            <w:vAlign w:val="center"/>
          </w:tcPr>
          <w:p w14:paraId="1724FF2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广州区域</w:t>
            </w:r>
          </w:p>
        </w:tc>
        <w:tc>
          <w:tcPr>
            <w:tcW w:w="1909" w:type="pct"/>
            <w:tcBorders>
              <w:top w:val="single" w:color="auto" w:sz="4" w:space="0"/>
              <w:left w:val="single" w:color="auto" w:sz="4" w:space="0"/>
              <w:bottom w:val="single" w:color="000000" w:sz="4" w:space="0"/>
              <w:right w:val="single" w:color="000000" w:sz="4" w:space="0"/>
            </w:tcBorders>
            <w:shd w:val="clear" w:color="auto" w:fill="auto"/>
            <w:vAlign w:val="center"/>
          </w:tcPr>
          <w:p w14:paraId="2A180FF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广州（含限行区）</w:t>
            </w:r>
          </w:p>
        </w:tc>
        <w:tc>
          <w:tcPr>
            <w:tcW w:w="729"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4987D36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225</w:t>
            </w:r>
          </w:p>
        </w:tc>
        <w:tc>
          <w:tcPr>
            <w:tcW w:w="794" w:type="pct"/>
            <w:vMerge w:val="restart"/>
            <w:tcBorders>
              <w:top w:val="single" w:color="auto" w:sz="4" w:space="0"/>
              <w:left w:val="single" w:color="000000" w:sz="4" w:space="0"/>
              <w:right w:val="single" w:color="auto" w:sz="4" w:space="0"/>
            </w:tcBorders>
            <w:shd w:val="clear" w:color="auto" w:fill="auto"/>
            <w:vAlign w:val="center"/>
          </w:tcPr>
          <w:p w14:paraId="1D4B8BB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合同服务期限自签订运输服务合同之日起一年。</w:t>
            </w:r>
          </w:p>
        </w:tc>
      </w:tr>
      <w:tr w14:paraId="6C521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AE4F6">
            <w:pPr>
              <w:jc w:val="center"/>
              <w:rPr>
                <w:rFonts w:hint="eastAsia" w:ascii="宋体" w:hAnsi="宋体" w:eastAsia="宋体" w:cs="宋体"/>
                <w:b/>
                <w:bCs/>
                <w:i w:val="0"/>
                <w:iCs w:val="0"/>
                <w:color w:val="000000"/>
                <w:sz w:val="22"/>
                <w:szCs w:val="22"/>
                <w:highlight w:val="none"/>
                <w:u w:val="none"/>
              </w:rPr>
            </w:pP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DFC6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B包</w:t>
            </w:r>
          </w:p>
        </w:tc>
        <w:tc>
          <w:tcPr>
            <w:tcW w:w="713" w:type="pct"/>
            <w:tcBorders>
              <w:top w:val="single" w:color="000000" w:sz="4" w:space="0"/>
              <w:left w:val="single" w:color="000000" w:sz="4" w:space="0"/>
              <w:bottom w:val="single" w:color="000000" w:sz="4" w:space="0"/>
              <w:right w:val="single" w:color="auto" w:sz="4" w:space="0"/>
            </w:tcBorders>
            <w:shd w:val="clear" w:color="auto" w:fill="auto"/>
            <w:vAlign w:val="center"/>
          </w:tcPr>
          <w:p w14:paraId="3ECE9E8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深圳区域</w:t>
            </w:r>
          </w:p>
        </w:tc>
        <w:tc>
          <w:tcPr>
            <w:tcW w:w="1909" w:type="pct"/>
            <w:tcBorders>
              <w:top w:val="single" w:color="000000" w:sz="4" w:space="0"/>
              <w:left w:val="single" w:color="auto" w:sz="4" w:space="0"/>
              <w:bottom w:val="single" w:color="000000" w:sz="4" w:space="0"/>
              <w:right w:val="single" w:color="000000" w:sz="4" w:space="0"/>
            </w:tcBorders>
            <w:shd w:val="clear" w:color="auto" w:fill="auto"/>
            <w:vAlign w:val="center"/>
          </w:tcPr>
          <w:p w14:paraId="3114AE8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深圳（含限行区）</w:t>
            </w: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8856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794" w:type="pct"/>
            <w:vMerge w:val="continue"/>
            <w:tcBorders>
              <w:left w:val="single" w:color="000000" w:sz="4" w:space="0"/>
              <w:right w:val="single" w:color="auto" w:sz="4" w:space="0"/>
            </w:tcBorders>
            <w:shd w:val="clear" w:color="auto" w:fill="auto"/>
            <w:vAlign w:val="center"/>
          </w:tcPr>
          <w:p w14:paraId="006888EE">
            <w:pPr>
              <w:jc w:val="center"/>
              <w:rPr>
                <w:rFonts w:hint="eastAsia" w:ascii="宋体" w:hAnsi="宋体" w:eastAsia="宋体" w:cs="宋体"/>
                <w:i w:val="0"/>
                <w:iCs w:val="0"/>
                <w:color w:val="000000"/>
                <w:sz w:val="21"/>
                <w:szCs w:val="21"/>
                <w:highlight w:val="none"/>
                <w:u w:val="none"/>
              </w:rPr>
            </w:pPr>
          </w:p>
        </w:tc>
      </w:tr>
      <w:tr w14:paraId="69CA0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1B53FD">
            <w:pPr>
              <w:jc w:val="center"/>
              <w:rPr>
                <w:rFonts w:hint="eastAsia" w:ascii="宋体" w:hAnsi="宋体" w:eastAsia="宋体" w:cs="宋体"/>
                <w:b/>
                <w:bCs/>
                <w:i w:val="0"/>
                <w:iCs w:val="0"/>
                <w:color w:val="000000"/>
                <w:sz w:val="22"/>
                <w:szCs w:val="22"/>
                <w:highlight w:val="none"/>
                <w:u w:val="none"/>
              </w:rPr>
            </w:pP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C3DD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C包</w:t>
            </w:r>
          </w:p>
        </w:tc>
        <w:tc>
          <w:tcPr>
            <w:tcW w:w="713" w:type="pct"/>
            <w:tcBorders>
              <w:top w:val="single" w:color="000000" w:sz="4" w:space="0"/>
              <w:left w:val="single" w:color="000000" w:sz="4" w:space="0"/>
              <w:bottom w:val="single" w:color="000000" w:sz="4" w:space="0"/>
              <w:right w:val="single" w:color="auto" w:sz="4" w:space="0"/>
            </w:tcBorders>
            <w:shd w:val="clear" w:color="auto" w:fill="auto"/>
            <w:vAlign w:val="center"/>
          </w:tcPr>
          <w:p w14:paraId="0CF6299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莞惠区域</w:t>
            </w:r>
          </w:p>
        </w:tc>
        <w:tc>
          <w:tcPr>
            <w:tcW w:w="1909" w:type="pct"/>
            <w:tcBorders>
              <w:top w:val="single" w:color="000000" w:sz="4" w:space="0"/>
              <w:left w:val="single" w:color="auto" w:sz="4" w:space="0"/>
              <w:bottom w:val="single" w:color="000000" w:sz="4" w:space="0"/>
              <w:right w:val="single" w:color="000000" w:sz="4" w:space="0"/>
            </w:tcBorders>
            <w:shd w:val="clear" w:color="auto" w:fill="auto"/>
            <w:vAlign w:val="center"/>
          </w:tcPr>
          <w:p w14:paraId="316E582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东莞、惠州；（含以上城市限行区）</w:t>
            </w:r>
          </w:p>
        </w:tc>
        <w:tc>
          <w:tcPr>
            <w:tcW w:w="729"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050E53D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450</w:t>
            </w:r>
          </w:p>
        </w:tc>
        <w:tc>
          <w:tcPr>
            <w:tcW w:w="794" w:type="pct"/>
            <w:vMerge w:val="continue"/>
            <w:tcBorders>
              <w:left w:val="single" w:color="000000" w:sz="4" w:space="0"/>
              <w:right w:val="single" w:color="auto" w:sz="4" w:space="0"/>
            </w:tcBorders>
            <w:shd w:val="clear" w:color="auto" w:fill="auto"/>
            <w:vAlign w:val="center"/>
          </w:tcPr>
          <w:p w14:paraId="1EE9CF47">
            <w:pPr>
              <w:jc w:val="center"/>
              <w:rPr>
                <w:rFonts w:hint="eastAsia" w:ascii="宋体" w:hAnsi="宋体" w:eastAsia="宋体" w:cs="宋体"/>
                <w:i w:val="0"/>
                <w:iCs w:val="0"/>
                <w:color w:val="000000"/>
                <w:sz w:val="21"/>
                <w:szCs w:val="21"/>
                <w:highlight w:val="none"/>
                <w:u w:val="none"/>
              </w:rPr>
            </w:pPr>
          </w:p>
        </w:tc>
      </w:tr>
      <w:tr w14:paraId="2454F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8" w:hRule="atLeast"/>
        </w:trPr>
        <w:tc>
          <w:tcPr>
            <w:tcW w:w="2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A9C1A">
            <w:pPr>
              <w:jc w:val="center"/>
              <w:rPr>
                <w:rFonts w:hint="eastAsia" w:ascii="宋体" w:hAnsi="宋体" w:eastAsia="宋体" w:cs="宋体"/>
                <w:b/>
                <w:bCs/>
                <w:i w:val="0"/>
                <w:iCs w:val="0"/>
                <w:color w:val="000000"/>
                <w:sz w:val="22"/>
                <w:szCs w:val="22"/>
                <w:highlight w:val="none"/>
                <w:u w:val="none"/>
              </w:rPr>
            </w:pP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AFBE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D包</w:t>
            </w:r>
          </w:p>
        </w:tc>
        <w:tc>
          <w:tcPr>
            <w:tcW w:w="713" w:type="pct"/>
            <w:tcBorders>
              <w:top w:val="single" w:color="000000" w:sz="4" w:space="0"/>
              <w:left w:val="single" w:color="000000" w:sz="4" w:space="0"/>
              <w:bottom w:val="single" w:color="000000" w:sz="4" w:space="0"/>
              <w:right w:val="single" w:color="auto" w:sz="4" w:space="0"/>
            </w:tcBorders>
            <w:shd w:val="clear" w:color="auto" w:fill="auto"/>
            <w:vAlign w:val="center"/>
          </w:tcPr>
          <w:p w14:paraId="21D0EB6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其他区域</w:t>
            </w:r>
          </w:p>
        </w:tc>
        <w:tc>
          <w:tcPr>
            <w:tcW w:w="1909" w:type="pct"/>
            <w:tcBorders>
              <w:top w:val="single" w:color="000000" w:sz="4" w:space="0"/>
              <w:left w:val="single" w:color="auto" w:sz="4" w:space="0"/>
              <w:bottom w:val="single" w:color="auto" w:sz="4" w:space="0"/>
              <w:right w:val="single" w:color="auto" w:sz="4" w:space="0"/>
            </w:tcBorders>
            <w:shd w:val="clear" w:color="auto" w:fill="auto"/>
            <w:vAlign w:val="center"/>
          </w:tcPr>
          <w:p w14:paraId="7469286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韶关、汕尾、河源、梅州、汕头、潮州、揭阳、肇庆、佛山、中山、珠海、江门、阳江、茂名、云浮、湛江、清远；（含以上城市限行区）</w:t>
            </w:r>
          </w:p>
        </w:tc>
        <w:tc>
          <w:tcPr>
            <w:tcW w:w="72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23515F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200</w:t>
            </w:r>
          </w:p>
        </w:tc>
        <w:tc>
          <w:tcPr>
            <w:tcW w:w="794" w:type="pct"/>
            <w:vMerge w:val="continue"/>
            <w:tcBorders>
              <w:left w:val="single" w:color="000000" w:sz="4" w:space="0"/>
              <w:bottom w:val="single" w:color="auto" w:sz="4" w:space="0"/>
              <w:right w:val="single" w:color="auto" w:sz="4" w:space="0"/>
            </w:tcBorders>
            <w:shd w:val="clear" w:color="auto" w:fill="auto"/>
            <w:vAlign w:val="center"/>
          </w:tcPr>
          <w:p w14:paraId="68E7C1DC">
            <w:pPr>
              <w:jc w:val="center"/>
              <w:rPr>
                <w:rFonts w:hint="eastAsia" w:ascii="宋体" w:hAnsi="宋体" w:eastAsia="宋体" w:cs="宋体"/>
                <w:i w:val="0"/>
                <w:iCs w:val="0"/>
                <w:color w:val="000000"/>
                <w:sz w:val="21"/>
                <w:szCs w:val="21"/>
                <w:highlight w:val="none"/>
                <w:u w:val="none"/>
              </w:rPr>
            </w:pPr>
          </w:p>
        </w:tc>
      </w:tr>
    </w:tbl>
    <w:p w14:paraId="5BB2C373">
      <w:pPr>
        <w:ind w:firstLine="420" w:firstLineChars="200"/>
        <w:jc w:val="both"/>
        <w:rPr>
          <w:rFonts w:ascii="宋体" w:hAnsi="宋体"/>
          <w:color w:val="auto"/>
          <w:szCs w:val="21"/>
          <w:highlight w:val="none"/>
        </w:rPr>
      </w:pPr>
      <w:r>
        <w:rPr>
          <w:rFonts w:hint="eastAsia" w:ascii="宋体" w:hAnsi="宋体"/>
          <w:color w:val="auto"/>
          <w:szCs w:val="21"/>
          <w:highlight w:val="none"/>
        </w:rPr>
        <w:t>5、项目需求</w:t>
      </w:r>
    </w:p>
    <w:p w14:paraId="78AAF1EA">
      <w:pPr>
        <w:ind w:firstLine="420" w:firstLineChars="200"/>
        <w:jc w:val="both"/>
        <w:rPr>
          <w:rFonts w:ascii="宋体" w:hAnsi="宋体"/>
          <w:color w:val="auto"/>
          <w:szCs w:val="21"/>
          <w:highlight w:val="none"/>
        </w:rPr>
      </w:pPr>
      <w:r>
        <w:rPr>
          <w:rFonts w:hint="eastAsia" w:ascii="宋体" w:hAnsi="宋体"/>
          <w:color w:val="auto"/>
          <w:szCs w:val="21"/>
          <w:highlight w:val="none"/>
        </w:rPr>
        <w:t>详细内容请参阅采购文件第三部分《用户需求书》。</w:t>
      </w:r>
    </w:p>
    <w:p w14:paraId="2C144C5A">
      <w:pPr>
        <w:ind w:firstLine="422" w:firstLineChars="200"/>
        <w:jc w:val="both"/>
        <w:rPr>
          <w:rFonts w:ascii="宋体" w:hAnsi="宋体"/>
          <w:b/>
          <w:color w:val="auto"/>
          <w:szCs w:val="21"/>
          <w:highlight w:val="none"/>
        </w:rPr>
      </w:pPr>
    </w:p>
    <w:p w14:paraId="389EF716">
      <w:pPr>
        <w:ind w:firstLine="422" w:firstLineChars="200"/>
        <w:jc w:val="both"/>
        <w:rPr>
          <w:rFonts w:ascii="宋体" w:hAnsi="宋体"/>
          <w:b/>
          <w:color w:val="auto"/>
          <w:szCs w:val="21"/>
          <w:highlight w:val="none"/>
        </w:rPr>
      </w:pPr>
      <w:r>
        <w:rPr>
          <w:rFonts w:hint="eastAsia" w:ascii="宋体" w:hAnsi="宋体"/>
          <w:b/>
          <w:color w:val="auto"/>
          <w:szCs w:val="21"/>
          <w:highlight w:val="none"/>
        </w:rPr>
        <w:t>二、投标人资格要求</w:t>
      </w:r>
    </w:p>
    <w:p w14:paraId="4235B471">
      <w:pPr>
        <w:ind w:firstLine="420" w:firstLineChars="200"/>
        <w:jc w:val="both"/>
        <w:rPr>
          <w:rFonts w:ascii="宋体" w:hAnsi="宋体"/>
          <w:color w:val="auto"/>
          <w:szCs w:val="21"/>
          <w:highlight w:val="none"/>
        </w:rPr>
      </w:pPr>
      <w:r>
        <w:rPr>
          <w:rFonts w:hint="eastAsia" w:ascii="宋体" w:hAnsi="宋体"/>
          <w:color w:val="auto"/>
          <w:szCs w:val="21"/>
          <w:highlight w:val="none"/>
        </w:rPr>
        <w:t>1、一般要求：</w:t>
      </w:r>
    </w:p>
    <w:p w14:paraId="75CF7F5C">
      <w:pPr>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jc w:val="both"/>
        <w:textAlignment w:val="auto"/>
        <w:rPr>
          <w:rFonts w:ascii="宋体" w:hAnsi="宋体"/>
          <w:color w:val="auto"/>
          <w:szCs w:val="21"/>
          <w:highlight w:val="none"/>
        </w:rPr>
      </w:pPr>
      <w:r>
        <w:rPr>
          <w:rFonts w:hint="eastAsia" w:ascii="宋体" w:hAnsi="宋体"/>
          <w:color w:val="auto"/>
          <w:szCs w:val="21"/>
          <w:highlight w:val="none"/>
        </w:rPr>
        <w:t>（1）投标人须为在中华人民共和国境内登记注册的具有独立承担民事责任能力的法人或其他组织【提供《营业执照》复印件（加盖公章）或《事业单位法人证书》复印件（加盖公章）或其他主体证书复印件（加盖公章）】。</w:t>
      </w:r>
    </w:p>
    <w:p w14:paraId="411A17E1">
      <w:pPr>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jc w:val="both"/>
        <w:textAlignment w:val="auto"/>
        <w:rPr>
          <w:rFonts w:ascii="宋体" w:hAnsi="宋体"/>
          <w:color w:val="auto"/>
          <w:szCs w:val="21"/>
          <w:highlight w:val="none"/>
        </w:rPr>
      </w:pPr>
      <w:r>
        <w:rPr>
          <w:rFonts w:hint="eastAsia" w:ascii="宋体" w:hAnsi="宋体"/>
          <w:color w:val="auto"/>
          <w:szCs w:val="21"/>
          <w:highlight w:val="none"/>
        </w:rPr>
        <w:t>（2）参加采购活动前三年内，在经营活动中没有重大违法记录（须提供书面声明）。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有最新发文通知，按最新文件执行）。</w:t>
      </w:r>
    </w:p>
    <w:p w14:paraId="01EB934E">
      <w:pPr>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jc w:val="both"/>
        <w:textAlignment w:val="auto"/>
        <w:rPr>
          <w:rFonts w:ascii="宋体" w:hAnsi="宋体"/>
          <w:color w:val="auto"/>
          <w:szCs w:val="21"/>
          <w:highlight w:val="none"/>
        </w:rPr>
      </w:pPr>
      <w:r>
        <w:rPr>
          <w:rFonts w:hint="eastAsia" w:ascii="宋体" w:hAnsi="宋体"/>
          <w:color w:val="auto"/>
          <w:szCs w:val="21"/>
          <w:highlight w:val="none"/>
        </w:rPr>
        <w:t>（3）投标人的单位负责人为同一人或者存在直接控股、管理关系的不同投标人，不得参加同一合同项下的采购活动。</w:t>
      </w:r>
    </w:p>
    <w:p w14:paraId="78D96DF0">
      <w:pPr>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jc w:val="both"/>
        <w:textAlignment w:val="auto"/>
        <w:rPr>
          <w:rFonts w:ascii="宋体" w:hAnsi="宋体"/>
          <w:color w:val="auto"/>
          <w:szCs w:val="21"/>
          <w:highlight w:val="none"/>
        </w:rPr>
      </w:pPr>
      <w:r>
        <w:rPr>
          <w:rFonts w:hint="eastAsia" w:ascii="宋体" w:hAnsi="宋体"/>
          <w:color w:val="auto"/>
          <w:szCs w:val="21"/>
          <w:highlight w:val="none"/>
        </w:rPr>
        <w:t>（4）未被列入“信用中国”网站(www.creditchina.gov.cn )“记录失信被执行人或</w:t>
      </w:r>
      <w:r>
        <w:rPr>
          <w:rFonts w:hint="eastAsia"/>
          <w:color w:val="auto"/>
          <w:highlight w:val="none"/>
        </w:rPr>
        <w:t>重大税收违法失信主体</w:t>
      </w:r>
      <w:r>
        <w:rPr>
          <w:rFonts w:hint="eastAsia" w:ascii="宋体" w:hAnsi="宋体"/>
          <w:color w:val="auto"/>
          <w:szCs w:val="21"/>
          <w:highlight w:val="none"/>
        </w:rPr>
        <w:t>或政府采购严重违法失信行为”记录名单。以代理机构于投标截止日当天在“信用中国”网站查询结果为准，如相关失信记录已失效，投标人需提供相关证明资料。</w:t>
      </w:r>
    </w:p>
    <w:p w14:paraId="79F49AD0">
      <w:pPr>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jc w:val="both"/>
        <w:textAlignment w:val="auto"/>
        <w:rPr>
          <w:rFonts w:hint="eastAsia" w:ascii="宋体" w:hAnsi="宋体"/>
          <w:color w:val="auto"/>
          <w:szCs w:val="21"/>
          <w:highlight w:val="none"/>
        </w:rPr>
      </w:pPr>
      <w:r>
        <w:rPr>
          <w:rFonts w:hint="eastAsia" w:ascii="宋体" w:hAnsi="宋体"/>
          <w:color w:val="auto"/>
          <w:szCs w:val="21"/>
          <w:highlight w:val="none"/>
        </w:rPr>
        <w:t>（5）报价人须提供投标截止日前6个月内任意1个月依法缴纳税收的证明材料及无欠税的证明材料。如依法免税的，须提供相应证明材料（提供依法缴纳税收的证明材料及无欠税的证明材料，证明材料须加盖公章）。</w:t>
      </w:r>
    </w:p>
    <w:p w14:paraId="2D8271F7">
      <w:pPr>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jc w:val="both"/>
        <w:textAlignment w:val="auto"/>
        <w:rPr>
          <w:rFonts w:hint="eastAsia"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w:t>
      </w:r>
      <w:r>
        <w:rPr>
          <w:rFonts w:hint="eastAsia" w:ascii="宋体" w:hAnsi="宋体"/>
          <w:color w:val="auto"/>
          <w:szCs w:val="21"/>
          <w:highlight w:val="none"/>
        </w:rPr>
        <w:t>未被列入东实环境及下属企业相关领域黑名单。</w:t>
      </w:r>
    </w:p>
    <w:p w14:paraId="454EB5FB">
      <w:pPr>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jc w:val="both"/>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7</w:t>
      </w:r>
      <w:r>
        <w:rPr>
          <w:rFonts w:hint="eastAsia" w:ascii="宋体" w:hAnsi="宋体"/>
          <w:color w:val="auto"/>
          <w:szCs w:val="21"/>
          <w:highlight w:val="none"/>
        </w:rPr>
        <w:t>）本项目不接受联合体投标。</w:t>
      </w:r>
    </w:p>
    <w:p w14:paraId="5293D81B">
      <w:pPr>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jc w:val="both"/>
        <w:textAlignment w:val="auto"/>
        <w:rPr>
          <w:rFonts w:ascii="宋体" w:hAnsi="宋体"/>
          <w:color w:val="auto"/>
          <w:szCs w:val="21"/>
          <w:highlight w:val="none"/>
        </w:rPr>
      </w:pPr>
      <w:r>
        <w:rPr>
          <w:rFonts w:hint="eastAsia" w:ascii="宋体" w:hAnsi="宋体"/>
          <w:color w:val="auto"/>
          <w:szCs w:val="21"/>
          <w:highlight w:val="none"/>
        </w:rPr>
        <w:t>2、其他要求</w:t>
      </w:r>
    </w:p>
    <w:p w14:paraId="5300ED43">
      <w:pPr>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jc w:val="both"/>
        <w:textAlignment w:val="auto"/>
        <w:rPr>
          <w:rFonts w:hint="eastAsia"/>
          <w:color w:val="auto"/>
          <w:highlight w:val="none"/>
          <w:u w:val="single"/>
        </w:rPr>
      </w:pPr>
      <w:r>
        <w:rPr>
          <w:rFonts w:hint="eastAsia" w:ascii="宋体" w:hAnsi="宋体" w:eastAsia="宋体"/>
          <w:color w:val="auto"/>
          <w:szCs w:val="21"/>
          <w:highlight w:val="none"/>
          <w:u w:val="single"/>
          <w:lang w:val="en-US" w:eastAsia="zh-CN"/>
        </w:rPr>
        <w:t>2.1</w:t>
      </w:r>
      <w:r>
        <w:rPr>
          <w:rFonts w:hint="eastAsia" w:ascii="宋体" w:hAnsi="宋体" w:eastAsia="宋体"/>
          <w:color w:val="auto"/>
          <w:szCs w:val="21"/>
          <w:highlight w:val="none"/>
          <w:u w:val="single"/>
        </w:rPr>
        <w:t xml:space="preserve"> 投标人</w:t>
      </w:r>
      <w:r>
        <w:rPr>
          <w:rFonts w:hint="eastAsia"/>
          <w:color w:val="auto"/>
          <w:highlight w:val="none"/>
          <w:u w:val="single"/>
        </w:rPr>
        <w:t>具有在有效期内的《道路运输经营许可证》，经营范围需涵盖“危险废物”运输（投标人须提供许可证复印件并加盖公章）。</w:t>
      </w:r>
    </w:p>
    <w:p w14:paraId="1BB5120B">
      <w:pPr>
        <w:keepNext w:val="0"/>
        <w:keepLines w:val="0"/>
        <w:pageBreakBefore w:val="0"/>
        <w:widowControl/>
        <w:numPr>
          <w:ilvl w:val="1"/>
          <w:numId w:val="0"/>
        </w:numPr>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olor w:val="auto"/>
          <w:szCs w:val="21"/>
          <w:highlight w:val="none"/>
        </w:rPr>
      </w:pPr>
      <w:r>
        <w:rPr>
          <w:rFonts w:hint="eastAsia" w:ascii="宋体" w:hAnsi="宋体" w:eastAsia="宋体"/>
          <w:color w:val="auto"/>
          <w:szCs w:val="21"/>
          <w:highlight w:val="none"/>
          <w:lang w:val="en-US" w:eastAsia="zh-CN"/>
        </w:rPr>
        <w:t>2.2</w:t>
      </w:r>
      <w:r>
        <w:rPr>
          <w:rFonts w:hint="eastAsia" w:ascii="宋体" w:hAnsi="宋体"/>
          <w:color w:val="auto"/>
          <w:szCs w:val="21"/>
          <w:highlight w:val="none"/>
          <w:lang w:eastAsia="zh-CN"/>
        </w:rPr>
        <w:t>投标人</w:t>
      </w:r>
      <w:r>
        <w:rPr>
          <w:rFonts w:hint="eastAsia" w:ascii="宋体" w:hAnsi="宋体" w:eastAsia="宋体"/>
          <w:color w:val="auto"/>
          <w:szCs w:val="21"/>
          <w:highlight w:val="none"/>
        </w:rPr>
        <w:t>必须具有危险货物车辆、人员等配置，具体包括：</w:t>
      </w:r>
    </w:p>
    <w:p w14:paraId="370A9D7A">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color w:val="auto"/>
          <w:szCs w:val="21"/>
          <w:highlight w:val="none"/>
        </w:rPr>
      </w:pPr>
      <w:r>
        <w:rPr>
          <w:rFonts w:hint="eastAsia" w:ascii="宋体" w:hAnsi="宋体"/>
          <w:color w:val="auto"/>
          <w:szCs w:val="21"/>
          <w:highlight w:val="none"/>
        </w:rPr>
        <w:t>（1）参加厢车标段的</w:t>
      </w:r>
      <w:r>
        <w:rPr>
          <w:rFonts w:hint="eastAsia" w:ascii="宋体" w:hAnsi="宋体"/>
          <w:color w:val="auto"/>
          <w:szCs w:val="21"/>
          <w:highlight w:val="none"/>
          <w:lang w:eastAsia="zh-CN"/>
        </w:rPr>
        <w:t>投标人</w:t>
      </w:r>
      <w:r>
        <w:rPr>
          <w:rFonts w:hint="eastAsia" w:ascii="宋体" w:hAnsi="宋体"/>
          <w:color w:val="auto"/>
          <w:szCs w:val="21"/>
          <w:highlight w:val="none"/>
        </w:rPr>
        <w:t>提供不少于5台</w:t>
      </w:r>
      <w:r>
        <w:rPr>
          <w:rFonts w:hint="eastAsia" w:ascii="宋体" w:hAnsi="宋体"/>
          <w:color w:val="auto"/>
          <w:szCs w:val="21"/>
          <w:highlight w:val="none"/>
          <w:lang w:eastAsia="zh-CN"/>
        </w:rPr>
        <w:t>投标人</w:t>
      </w:r>
      <w:r>
        <w:rPr>
          <w:rFonts w:hint="eastAsia" w:ascii="宋体" w:hAnsi="宋体"/>
          <w:color w:val="auto"/>
          <w:szCs w:val="21"/>
          <w:highlight w:val="none"/>
        </w:rPr>
        <w:t>自有厢车信息及对应的《道路运输证》，以及提供不少于5名对应厢车驾驶员和不少于5名押运员材料【提供不少于5台厢车《道路运输证》复印件，不少于5名驾驶员的《道路运输从业人员从业资格证》且从业资格类别包括“道路危险货物运输驾驶”，不少于5名押运员的《道路运输从业人员从业资格证》且从业资格类别包括“道路危险货物运输押运人员”，均加盖公章】；</w:t>
      </w:r>
    </w:p>
    <w:p w14:paraId="34194C23">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olor w:val="auto"/>
          <w:szCs w:val="21"/>
          <w:highlight w:val="none"/>
        </w:rPr>
      </w:pPr>
      <w:r>
        <w:rPr>
          <w:rFonts w:hint="eastAsia" w:ascii="宋体" w:hAnsi="宋体"/>
          <w:color w:val="auto"/>
          <w:szCs w:val="21"/>
          <w:highlight w:val="none"/>
          <w:lang w:val="en-US" w:eastAsia="zh-CN"/>
        </w:rPr>
        <w:t>2.3</w:t>
      </w:r>
      <w:r>
        <w:rPr>
          <w:rFonts w:hint="eastAsia" w:ascii="宋体" w:hAnsi="宋体" w:eastAsia="宋体"/>
          <w:color w:val="auto"/>
          <w:szCs w:val="21"/>
          <w:highlight w:val="none"/>
        </w:rPr>
        <w:t>厢车类型</w:t>
      </w:r>
      <w:r>
        <w:rPr>
          <w:rFonts w:hint="eastAsia" w:ascii="宋体" w:hAnsi="宋体"/>
          <w:color w:val="auto"/>
          <w:szCs w:val="21"/>
          <w:highlight w:val="none"/>
          <w:lang w:eastAsia="zh-CN"/>
        </w:rPr>
        <w:t>投标人</w:t>
      </w:r>
      <w:r>
        <w:rPr>
          <w:rFonts w:hint="eastAsia" w:ascii="宋体" w:hAnsi="宋体" w:eastAsia="宋体"/>
          <w:color w:val="auto"/>
          <w:szCs w:val="21"/>
          <w:highlight w:val="none"/>
        </w:rPr>
        <w:t>必须具备：</w:t>
      </w:r>
    </w:p>
    <w:p w14:paraId="6C4F7EB3">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olor w:val="auto"/>
          <w:szCs w:val="21"/>
          <w:highlight w:val="none"/>
        </w:rPr>
      </w:pPr>
      <w:r>
        <w:rPr>
          <w:rFonts w:hint="eastAsia" w:ascii="宋体" w:hAnsi="宋体" w:eastAsia="宋体"/>
          <w:color w:val="auto"/>
          <w:szCs w:val="21"/>
          <w:highlight w:val="none"/>
        </w:rPr>
        <w:t>必须符合：“广东省固体废物环境监管信息平台”</w:t>
      </w:r>
      <w:r>
        <w:rPr>
          <w:rFonts w:hint="eastAsia" w:ascii="宋体" w:hAnsi="宋体"/>
          <w:color w:val="auto"/>
          <w:szCs w:val="21"/>
          <w:highlight w:val="none"/>
          <w:lang w:eastAsia="zh-CN"/>
        </w:rPr>
        <w:t>（</w:t>
      </w:r>
      <w:r>
        <w:rPr>
          <w:rFonts w:hint="eastAsia" w:ascii="宋体" w:hAnsi="宋体" w:eastAsia="宋体"/>
          <w:color w:val="auto"/>
          <w:szCs w:val="21"/>
          <w:highlight w:val="none"/>
        </w:rPr>
        <w:t>https://www-app.gdeei.cn/gfjgqy-rz/login</w:t>
      </w:r>
      <w:r>
        <w:rPr>
          <w:rFonts w:hint="eastAsia" w:ascii="宋体" w:hAnsi="宋体"/>
          <w:color w:val="auto"/>
          <w:szCs w:val="21"/>
          <w:highlight w:val="none"/>
          <w:lang w:eastAsia="zh-CN"/>
        </w:rPr>
        <w:t>）</w:t>
      </w:r>
      <w:r>
        <w:rPr>
          <w:rFonts w:hint="eastAsia" w:ascii="宋体" w:hAnsi="宋体" w:eastAsia="宋体"/>
          <w:color w:val="auto"/>
          <w:szCs w:val="21"/>
          <w:highlight w:val="none"/>
        </w:rPr>
        <w:t>，</w:t>
      </w:r>
      <w:r>
        <w:rPr>
          <w:rFonts w:hint="eastAsia" w:ascii="宋体" w:hAnsi="宋体"/>
          <w:b/>
          <w:bCs/>
          <w:color w:val="auto"/>
          <w:szCs w:val="21"/>
          <w:highlight w:val="none"/>
          <w:lang w:eastAsia="zh-CN"/>
        </w:rPr>
        <w:t>2024年6月30日起至今</w:t>
      </w:r>
      <w:r>
        <w:rPr>
          <w:rFonts w:hint="eastAsia" w:ascii="宋体" w:hAnsi="宋体" w:eastAsia="宋体"/>
          <w:color w:val="auto"/>
          <w:szCs w:val="21"/>
          <w:highlight w:val="none"/>
        </w:rPr>
        <w:t>运输危险废物，如下处置方式的合计总量</w:t>
      </w:r>
      <w:r>
        <w:rPr>
          <w:rFonts w:hint="eastAsia" w:ascii="宋体" w:hAnsi="宋体" w:eastAsia="宋体"/>
          <w:b/>
          <w:bCs/>
          <w:color w:val="auto"/>
          <w:szCs w:val="21"/>
          <w:highlight w:val="none"/>
        </w:rPr>
        <w:t>不低于1000吨</w:t>
      </w:r>
      <w:r>
        <w:rPr>
          <w:rFonts w:hint="eastAsia" w:ascii="宋体" w:hAnsi="宋体" w:eastAsia="宋体"/>
          <w:color w:val="auto"/>
          <w:szCs w:val="21"/>
          <w:highlight w:val="none"/>
        </w:rPr>
        <w:t>：固废平台数据筛选按下表：</w:t>
      </w:r>
    </w:p>
    <w:tbl>
      <w:tblPr>
        <w:tblStyle w:val="3"/>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316"/>
        <w:gridCol w:w="4110"/>
      </w:tblGrid>
      <w:tr w14:paraId="2C351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14:paraId="099EBA41">
            <w:pPr>
              <w:numPr>
                <w:ilvl w:val="0"/>
                <w:numId w:val="0"/>
              </w:numPr>
              <w:spacing w:line="400" w:lineRule="exact"/>
              <w:ind w:left="426" w:leftChars="0"/>
              <w:rPr>
                <w:rFonts w:hint="eastAsia" w:ascii="宋体" w:hAnsi="宋体" w:eastAsia="宋体"/>
                <w:color w:val="auto"/>
                <w:szCs w:val="21"/>
                <w:highlight w:val="none"/>
              </w:rPr>
            </w:pPr>
            <w:r>
              <w:rPr>
                <w:rFonts w:hint="eastAsia" w:ascii="宋体" w:hAnsi="宋体" w:eastAsia="宋体"/>
                <w:color w:val="auto"/>
                <w:szCs w:val="21"/>
                <w:highlight w:val="none"/>
              </w:rPr>
              <w:t>处置方式大类</w:t>
            </w:r>
          </w:p>
        </w:tc>
        <w:tc>
          <w:tcPr>
            <w:tcW w:w="2316" w:type="dxa"/>
            <w:vAlign w:val="center"/>
          </w:tcPr>
          <w:p w14:paraId="64B0DE3C">
            <w:pPr>
              <w:numPr>
                <w:ilvl w:val="0"/>
                <w:numId w:val="0"/>
              </w:numPr>
              <w:spacing w:line="400" w:lineRule="exact"/>
              <w:ind w:left="426" w:leftChars="0"/>
              <w:rPr>
                <w:rFonts w:hint="eastAsia" w:ascii="宋体" w:hAnsi="宋体" w:eastAsia="宋体"/>
                <w:color w:val="auto"/>
                <w:szCs w:val="21"/>
                <w:highlight w:val="none"/>
              </w:rPr>
            </w:pPr>
            <w:r>
              <w:rPr>
                <w:rFonts w:hint="eastAsia" w:ascii="宋体" w:hAnsi="宋体" w:eastAsia="宋体"/>
                <w:color w:val="auto"/>
                <w:szCs w:val="21"/>
                <w:highlight w:val="none"/>
              </w:rPr>
              <w:t>处置方式小类</w:t>
            </w:r>
          </w:p>
        </w:tc>
        <w:tc>
          <w:tcPr>
            <w:tcW w:w="4110" w:type="dxa"/>
            <w:vAlign w:val="center"/>
          </w:tcPr>
          <w:p w14:paraId="29153EE2">
            <w:pPr>
              <w:numPr>
                <w:ilvl w:val="0"/>
                <w:numId w:val="0"/>
              </w:numPr>
              <w:spacing w:line="400" w:lineRule="exact"/>
              <w:ind w:left="426" w:leftChars="0"/>
              <w:rPr>
                <w:rFonts w:hint="eastAsia" w:ascii="宋体" w:hAnsi="宋体" w:eastAsia="宋体"/>
                <w:color w:val="auto"/>
                <w:szCs w:val="21"/>
                <w:highlight w:val="none"/>
              </w:rPr>
            </w:pPr>
            <w:r>
              <w:rPr>
                <w:rFonts w:hint="eastAsia" w:ascii="宋体" w:hAnsi="宋体"/>
                <w:color w:val="auto"/>
                <w:szCs w:val="21"/>
                <w:highlight w:val="none"/>
              </w:rPr>
              <w:t>2024年6月30日起至今</w:t>
            </w:r>
            <w:r>
              <w:rPr>
                <w:rFonts w:hint="eastAsia" w:ascii="宋体" w:hAnsi="宋体" w:eastAsia="宋体"/>
                <w:color w:val="auto"/>
                <w:szCs w:val="21"/>
                <w:highlight w:val="none"/>
              </w:rPr>
              <w:t>合计量（吨）</w:t>
            </w:r>
          </w:p>
        </w:tc>
      </w:tr>
      <w:tr w14:paraId="4AF59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restart"/>
            <w:vAlign w:val="center"/>
          </w:tcPr>
          <w:p w14:paraId="60004C32">
            <w:pPr>
              <w:numPr>
                <w:ilvl w:val="0"/>
                <w:numId w:val="0"/>
              </w:numPr>
              <w:spacing w:line="400" w:lineRule="exact"/>
              <w:ind w:left="426" w:leftChars="0"/>
              <w:rPr>
                <w:rFonts w:hint="eastAsia" w:ascii="宋体" w:hAnsi="宋体" w:eastAsia="宋体"/>
                <w:color w:val="auto"/>
                <w:szCs w:val="21"/>
                <w:highlight w:val="none"/>
              </w:rPr>
            </w:pPr>
            <w:r>
              <w:rPr>
                <w:rFonts w:hint="eastAsia" w:ascii="宋体" w:hAnsi="宋体" w:eastAsia="宋体"/>
                <w:color w:val="auto"/>
                <w:szCs w:val="21"/>
                <w:highlight w:val="none"/>
              </w:rPr>
              <w:t>D-处置</w:t>
            </w:r>
          </w:p>
        </w:tc>
        <w:tc>
          <w:tcPr>
            <w:tcW w:w="2316" w:type="dxa"/>
            <w:vAlign w:val="center"/>
          </w:tcPr>
          <w:p w14:paraId="325B5D0B">
            <w:pPr>
              <w:numPr>
                <w:ilvl w:val="0"/>
                <w:numId w:val="0"/>
              </w:numPr>
              <w:spacing w:line="400" w:lineRule="exact"/>
              <w:ind w:left="426" w:leftChars="0"/>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D9物理化学处理</w:t>
            </w:r>
          </w:p>
        </w:tc>
        <w:tc>
          <w:tcPr>
            <w:tcW w:w="4110" w:type="dxa"/>
            <w:vMerge w:val="restart"/>
            <w:vAlign w:val="center"/>
          </w:tcPr>
          <w:p w14:paraId="4C62B7FD">
            <w:pPr>
              <w:numPr>
                <w:ilvl w:val="0"/>
                <w:numId w:val="0"/>
              </w:numPr>
              <w:spacing w:line="400" w:lineRule="exact"/>
              <w:ind w:left="0" w:leftChars="0"/>
              <w:rPr>
                <w:rFonts w:hint="eastAsia" w:ascii="宋体" w:hAnsi="宋体" w:eastAsia="宋体"/>
                <w:color w:val="auto"/>
                <w:szCs w:val="21"/>
                <w:highlight w:val="none"/>
              </w:rPr>
            </w:pPr>
          </w:p>
        </w:tc>
      </w:tr>
      <w:tr w14:paraId="64214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5C1E1B7B">
            <w:pPr>
              <w:numPr>
                <w:ilvl w:val="0"/>
                <w:numId w:val="0"/>
              </w:numPr>
              <w:spacing w:line="400" w:lineRule="exact"/>
              <w:ind w:left="426" w:leftChars="0"/>
              <w:rPr>
                <w:rFonts w:hint="eastAsia" w:ascii="宋体" w:hAnsi="宋体" w:eastAsia="宋体"/>
                <w:color w:val="auto"/>
                <w:szCs w:val="21"/>
                <w:highlight w:val="none"/>
              </w:rPr>
            </w:pPr>
          </w:p>
        </w:tc>
        <w:tc>
          <w:tcPr>
            <w:tcW w:w="2316" w:type="dxa"/>
            <w:vAlign w:val="center"/>
          </w:tcPr>
          <w:p w14:paraId="7747E518">
            <w:pPr>
              <w:numPr>
                <w:ilvl w:val="0"/>
                <w:numId w:val="0"/>
              </w:numPr>
              <w:spacing w:line="400" w:lineRule="exact"/>
              <w:ind w:left="426" w:leftChars="0"/>
              <w:rPr>
                <w:rFonts w:hint="eastAsia" w:ascii="宋体" w:hAnsi="宋体" w:eastAsia="宋体"/>
                <w:color w:val="auto"/>
                <w:szCs w:val="21"/>
                <w:highlight w:val="none"/>
              </w:rPr>
            </w:pPr>
            <w:r>
              <w:rPr>
                <w:rFonts w:hint="eastAsia" w:ascii="宋体" w:hAnsi="宋体" w:eastAsia="宋体"/>
                <w:color w:val="auto"/>
                <w:szCs w:val="21"/>
                <w:highlight w:val="none"/>
              </w:rPr>
              <w:t>D10-焚烧</w:t>
            </w:r>
          </w:p>
        </w:tc>
        <w:tc>
          <w:tcPr>
            <w:tcW w:w="4110" w:type="dxa"/>
            <w:vMerge w:val="continue"/>
            <w:vAlign w:val="center"/>
          </w:tcPr>
          <w:p w14:paraId="7DA8B316">
            <w:pPr>
              <w:numPr>
                <w:ilvl w:val="0"/>
                <w:numId w:val="0"/>
              </w:numPr>
              <w:spacing w:line="400" w:lineRule="exact"/>
              <w:ind w:left="0" w:leftChars="0"/>
              <w:rPr>
                <w:rFonts w:hint="eastAsia" w:ascii="宋体" w:hAnsi="宋体" w:eastAsia="宋体"/>
                <w:color w:val="auto"/>
                <w:szCs w:val="21"/>
                <w:highlight w:val="none"/>
              </w:rPr>
            </w:pPr>
          </w:p>
        </w:tc>
      </w:tr>
      <w:tr w14:paraId="4077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596DC9D3">
            <w:pPr>
              <w:spacing w:line="400" w:lineRule="exact"/>
              <w:ind w:left="851" w:hanging="425"/>
              <w:rPr>
                <w:rFonts w:hint="eastAsia" w:ascii="宋体" w:hAnsi="宋体" w:eastAsia="宋体"/>
                <w:color w:val="auto"/>
                <w:szCs w:val="21"/>
                <w:highlight w:val="none"/>
              </w:rPr>
            </w:pPr>
          </w:p>
        </w:tc>
        <w:tc>
          <w:tcPr>
            <w:tcW w:w="2316" w:type="dxa"/>
            <w:vAlign w:val="center"/>
          </w:tcPr>
          <w:p w14:paraId="106B61B5">
            <w:pPr>
              <w:numPr>
                <w:ilvl w:val="0"/>
                <w:numId w:val="0"/>
              </w:numPr>
              <w:spacing w:line="400" w:lineRule="exact"/>
              <w:ind w:left="426" w:leftChars="0"/>
              <w:rPr>
                <w:rFonts w:hint="eastAsia" w:ascii="宋体" w:hAnsi="宋体" w:eastAsia="宋体"/>
                <w:color w:val="auto"/>
                <w:szCs w:val="21"/>
                <w:highlight w:val="none"/>
              </w:rPr>
            </w:pPr>
            <w:r>
              <w:rPr>
                <w:rFonts w:hint="eastAsia" w:ascii="宋体" w:hAnsi="宋体" w:eastAsia="宋体"/>
                <w:color w:val="auto"/>
                <w:szCs w:val="21"/>
                <w:highlight w:val="none"/>
              </w:rPr>
              <w:t>D16-其他</w:t>
            </w:r>
          </w:p>
        </w:tc>
        <w:tc>
          <w:tcPr>
            <w:tcW w:w="4110" w:type="dxa"/>
            <w:vMerge w:val="continue"/>
            <w:vAlign w:val="center"/>
          </w:tcPr>
          <w:p w14:paraId="49EAB2C2">
            <w:pPr>
              <w:spacing w:line="400" w:lineRule="exact"/>
              <w:ind w:left="851" w:hanging="425"/>
              <w:rPr>
                <w:rFonts w:hint="eastAsia" w:ascii="宋体" w:hAnsi="宋体" w:eastAsia="宋体"/>
                <w:color w:val="auto"/>
                <w:szCs w:val="21"/>
                <w:highlight w:val="none"/>
              </w:rPr>
            </w:pPr>
          </w:p>
        </w:tc>
      </w:tr>
      <w:tr w14:paraId="2B42E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14:paraId="1154BCB8">
            <w:pPr>
              <w:numPr>
                <w:ilvl w:val="0"/>
                <w:numId w:val="0"/>
              </w:numPr>
              <w:spacing w:line="400" w:lineRule="exact"/>
              <w:ind w:left="426" w:leftChars="0"/>
              <w:rPr>
                <w:rFonts w:hint="eastAsia" w:ascii="宋体" w:hAnsi="宋体" w:eastAsia="宋体"/>
                <w:color w:val="auto"/>
                <w:szCs w:val="21"/>
                <w:highlight w:val="none"/>
              </w:rPr>
            </w:pPr>
            <w:r>
              <w:rPr>
                <w:rFonts w:hint="eastAsia" w:ascii="宋体" w:hAnsi="宋体" w:eastAsia="宋体"/>
                <w:color w:val="auto"/>
                <w:szCs w:val="21"/>
                <w:highlight w:val="none"/>
              </w:rPr>
              <w:t>S-贮存</w:t>
            </w:r>
          </w:p>
        </w:tc>
        <w:tc>
          <w:tcPr>
            <w:tcW w:w="2316" w:type="dxa"/>
            <w:vAlign w:val="center"/>
          </w:tcPr>
          <w:p w14:paraId="5A70F238">
            <w:pPr>
              <w:numPr>
                <w:ilvl w:val="0"/>
                <w:numId w:val="0"/>
              </w:numPr>
              <w:spacing w:line="400" w:lineRule="exact"/>
              <w:ind w:left="426" w:leftChars="0"/>
              <w:rPr>
                <w:rFonts w:hint="eastAsia" w:ascii="宋体" w:hAnsi="宋体" w:eastAsia="宋体"/>
                <w:color w:val="auto"/>
                <w:szCs w:val="21"/>
                <w:highlight w:val="none"/>
              </w:rPr>
            </w:pPr>
            <w:r>
              <w:rPr>
                <w:rFonts w:hint="eastAsia" w:ascii="宋体" w:hAnsi="宋体" w:eastAsia="宋体"/>
                <w:color w:val="auto"/>
                <w:szCs w:val="21"/>
                <w:highlight w:val="none"/>
              </w:rPr>
              <w:t>S01至S06</w:t>
            </w:r>
          </w:p>
        </w:tc>
        <w:tc>
          <w:tcPr>
            <w:tcW w:w="4110" w:type="dxa"/>
            <w:vMerge w:val="continue"/>
            <w:vAlign w:val="center"/>
          </w:tcPr>
          <w:p w14:paraId="5A872BB0">
            <w:pPr>
              <w:spacing w:line="400" w:lineRule="exact"/>
              <w:ind w:left="851" w:hanging="425"/>
              <w:rPr>
                <w:rFonts w:hint="eastAsia" w:ascii="宋体" w:hAnsi="宋体" w:eastAsia="宋体"/>
                <w:color w:val="auto"/>
                <w:szCs w:val="21"/>
                <w:highlight w:val="none"/>
              </w:rPr>
            </w:pPr>
          </w:p>
        </w:tc>
      </w:tr>
      <w:tr w14:paraId="75795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0" w:type="dxa"/>
            <w:gridSpan w:val="3"/>
            <w:vAlign w:val="center"/>
          </w:tcPr>
          <w:p w14:paraId="4758497D">
            <w:pPr>
              <w:numPr>
                <w:ilvl w:val="-1"/>
                <w:numId w:val="0"/>
              </w:numPr>
              <w:spacing w:line="400" w:lineRule="exact"/>
              <w:ind w:left="0" w:firstLine="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备注：</w:t>
            </w:r>
            <w:r>
              <w:rPr>
                <w:rFonts w:hint="eastAsia" w:ascii="宋体" w:hAnsi="宋体"/>
                <w:b/>
                <w:bCs/>
                <w:color w:val="auto"/>
                <w:szCs w:val="21"/>
                <w:highlight w:val="none"/>
                <w:lang w:val="en-US" w:eastAsia="zh-CN"/>
              </w:rPr>
              <w:t>要求提供</w:t>
            </w:r>
            <w:r>
              <w:rPr>
                <w:rFonts w:hint="eastAsia" w:ascii="宋体" w:hAnsi="宋体"/>
                <w:b/>
                <w:bCs/>
                <w:color w:val="auto"/>
                <w:szCs w:val="21"/>
                <w:highlight w:val="none"/>
              </w:rPr>
              <w:t>“广东省固体废物环境监管信息平台”</w:t>
            </w:r>
            <w:r>
              <w:rPr>
                <w:rFonts w:hint="eastAsia" w:ascii="宋体" w:hAnsi="宋体"/>
                <w:b/>
                <w:bCs/>
                <w:color w:val="auto"/>
                <w:szCs w:val="21"/>
                <w:highlight w:val="none"/>
                <w:lang w:val="en-US" w:eastAsia="zh-CN"/>
              </w:rPr>
              <w:t>截图证明及加盖公章</w:t>
            </w:r>
            <w:r>
              <w:rPr>
                <w:rFonts w:hint="eastAsia" w:ascii="宋体" w:hAnsi="宋体"/>
                <w:color w:val="auto"/>
                <w:szCs w:val="21"/>
                <w:highlight w:val="none"/>
                <w:lang w:val="en-US" w:eastAsia="zh-CN"/>
              </w:rPr>
              <w:t>（示例见图1），包括但不限于：</w:t>
            </w:r>
          </w:p>
          <w:p w14:paraId="4FC283B1">
            <w:pPr>
              <w:numPr>
                <w:ilvl w:val="-1"/>
                <w:numId w:val="0"/>
              </w:numPr>
              <w:spacing w:line="400" w:lineRule="exact"/>
              <w:ind w:left="0" w:firstLine="0"/>
              <w:rPr>
                <w:rFonts w:hint="default" w:ascii="宋体" w:hAnsi="宋体"/>
                <w:color w:val="auto"/>
                <w:szCs w:val="21"/>
                <w:highlight w:val="none"/>
              </w:rPr>
            </w:pPr>
            <w:r>
              <w:rPr>
                <w:rFonts w:hint="eastAsia" w:ascii="宋体" w:hAnsi="宋体"/>
                <w:color w:val="auto"/>
                <w:szCs w:val="21"/>
                <w:highlight w:val="none"/>
                <w:lang w:val="en-US" w:eastAsia="zh-CN"/>
              </w:rPr>
              <w:t>①</w:t>
            </w:r>
            <w:r>
              <w:rPr>
                <w:rFonts w:hint="default" w:ascii="宋体" w:hAnsi="宋体"/>
                <w:color w:val="auto"/>
                <w:szCs w:val="21"/>
                <w:highlight w:val="none"/>
              </w:rPr>
              <w:t>处置方式大类：D-处置且不含</w:t>
            </w:r>
            <w:r>
              <w:rPr>
                <w:rFonts w:hint="eastAsia" w:ascii="宋体" w:hAnsi="宋体"/>
                <w:color w:val="auto"/>
                <w:szCs w:val="21"/>
                <w:highlight w:val="none"/>
                <w:lang w:eastAsia="zh-CN"/>
              </w:rPr>
              <w:t>“</w:t>
            </w:r>
            <w:r>
              <w:rPr>
                <w:rFonts w:hint="default" w:ascii="宋体" w:hAnsi="宋体"/>
                <w:color w:val="auto"/>
                <w:szCs w:val="21"/>
                <w:highlight w:val="none"/>
              </w:rPr>
              <w:t>D1-填埋</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（示例见图2）</w:t>
            </w:r>
            <w:r>
              <w:rPr>
                <w:rFonts w:hint="default" w:ascii="宋体" w:hAnsi="宋体"/>
                <w:color w:val="auto"/>
                <w:szCs w:val="21"/>
                <w:highlight w:val="none"/>
              </w:rPr>
              <w:t>；</w:t>
            </w:r>
            <w:r>
              <w:rPr>
                <w:rFonts w:hint="eastAsia" w:ascii="宋体" w:hAnsi="宋体"/>
                <w:color w:val="auto"/>
                <w:szCs w:val="21"/>
                <w:highlight w:val="none"/>
                <w:lang w:val="en-US" w:eastAsia="zh-CN"/>
              </w:rPr>
              <w:t>要求D9、</w:t>
            </w:r>
            <w:r>
              <w:rPr>
                <w:rFonts w:hint="default" w:ascii="宋体" w:hAnsi="宋体"/>
                <w:color w:val="auto"/>
                <w:szCs w:val="21"/>
                <w:highlight w:val="none"/>
              </w:rPr>
              <w:t>D10、D16分别打印3页盖章。</w:t>
            </w:r>
          </w:p>
          <w:p w14:paraId="13D28660">
            <w:pPr>
              <w:numPr>
                <w:ilvl w:val="-1"/>
                <w:numId w:val="0"/>
              </w:numPr>
              <w:spacing w:line="400" w:lineRule="exact"/>
              <w:ind w:left="0" w:leftChars="0" w:firstLine="0" w:firstLineChars="0"/>
              <w:rPr>
                <w:rFonts w:hint="default" w:ascii="宋体" w:hAnsi="宋体" w:eastAsia="宋体" w:cstheme="minorBidi"/>
                <w:color w:val="auto"/>
                <w:sz w:val="21"/>
                <w:szCs w:val="21"/>
                <w:highlight w:val="none"/>
                <w:lang w:val="en-US" w:eastAsia="zh-CN" w:bidi="ar-SA"/>
              </w:rPr>
            </w:pPr>
            <w:r>
              <w:rPr>
                <w:rFonts w:hint="eastAsia" w:ascii="宋体" w:hAnsi="宋体"/>
                <w:color w:val="auto"/>
                <w:szCs w:val="21"/>
                <w:highlight w:val="none"/>
                <w:lang w:eastAsia="zh-CN"/>
              </w:rPr>
              <w:t>②</w:t>
            </w:r>
            <w:r>
              <w:rPr>
                <w:rFonts w:hint="default" w:ascii="宋体" w:hAnsi="宋体"/>
                <w:color w:val="auto"/>
                <w:szCs w:val="21"/>
                <w:highlight w:val="none"/>
              </w:rPr>
              <w:t>处置方式大类：S-贮存</w:t>
            </w:r>
            <w:r>
              <w:rPr>
                <w:rFonts w:hint="eastAsia" w:ascii="宋体" w:hAnsi="宋体"/>
                <w:color w:val="auto"/>
                <w:szCs w:val="21"/>
                <w:highlight w:val="none"/>
                <w:lang w:val="en-US" w:eastAsia="zh-CN"/>
              </w:rPr>
              <w:t>（示例见图3）</w:t>
            </w:r>
            <w:r>
              <w:rPr>
                <w:rFonts w:hint="default" w:ascii="宋体" w:hAnsi="宋体"/>
                <w:color w:val="auto"/>
                <w:szCs w:val="21"/>
                <w:highlight w:val="none"/>
              </w:rPr>
              <w:t>，打印1页盖章。</w:t>
            </w:r>
          </w:p>
        </w:tc>
      </w:tr>
    </w:tbl>
    <w:p w14:paraId="2418F568">
      <w:pPr>
        <w:numPr>
          <w:ilvl w:val="0"/>
          <w:numId w:val="0"/>
        </w:numPr>
        <w:spacing w:line="400" w:lineRule="exact"/>
        <w:ind w:left="0" w:leftChars="0"/>
        <w:jc w:val="center"/>
        <w:rPr>
          <w:rFonts w:hint="eastAsia" w:ascii="宋体" w:hAnsi="宋体"/>
          <w:color w:val="auto"/>
          <w:szCs w:val="21"/>
          <w:highlight w:val="none"/>
          <w:lang w:val="en-US" w:eastAsia="zh-CN"/>
        </w:rPr>
      </w:pPr>
      <w:r>
        <w:rPr>
          <w:rFonts w:hint="eastAsia" w:ascii="宋体" w:hAnsi="宋体" w:eastAsia="宋体"/>
          <w:color w:val="auto"/>
          <w:szCs w:val="21"/>
          <w:highlight w:val="none"/>
        </w:rPr>
        <w:drawing>
          <wp:anchor distT="0" distB="0" distL="0" distR="0" simplePos="0" relativeHeight="251659264" behindDoc="0" locked="0" layoutInCell="1" allowOverlap="1">
            <wp:simplePos x="0" y="0"/>
            <wp:positionH relativeFrom="column">
              <wp:posOffset>-50800</wp:posOffset>
            </wp:positionH>
            <wp:positionV relativeFrom="paragraph">
              <wp:posOffset>172085</wp:posOffset>
            </wp:positionV>
            <wp:extent cx="5237480" cy="2829560"/>
            <wp:effectExtent l="0" t="0" r="1270" b="8890"/>
            <wp:wrapTopAndBottom/>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6"/>
                    <a:stretch>
                      <a:fillRect/>
                    </a:stretch>
                  </pic:blipFill>
                  <pic:spPr>
                    <a:xfrm>
                      <a:off x="0" y="0"/>
                      <a:ext cx="5255819" cy="2839889"/>
                    </a:xfrm>
                    <a:prstGeom prst="rect">
                      <a:avLst/>
                    </a:prstGeom>
                  </pic:spPr>
                </pic:pic>
              </a:graphicData>
            </a:graphic>
          </wp:anchor>
        </w:drawing>
      </w:r>
      <w:r>
        <w:rPr>
          <w:rFonts w:hint="eastAsia" w:ascii="宋体" w:hAnsi="宋体" w:eastAsia="宋体"/>
          <w:color w:val="auto"/>
          <w:szCs w:val="21"/>
          <w:highlight w:val="none"/>
        </w:rPr>
        <w:t>▲</w:t>
      </w:r>
      <w:r>
        <w:rPr>
          <w:rFonts w:hint="eastAsia" w:ascii="宋体" w:hAnsi="宋体"/>
          <w:color w:val="auto"/>
          <w:szCs w:val="21"/>
          <w:highlight w:val="none"/>
          <w:lang w:val="en-US" w:eastAsia="zh-CN"/>
        </w:rPr>
        <w:t>图1</w:t>
      </w:r>
    </w:p>
    <w:p w14:paraId="171DDF8B">
      <w:pPr>
        <w:numPr>
          <w:ilvl w:val="0"/>
          <w:numId w:val="0"/>
        </w:numPr>
        <w:spacing w:line="400" w:lineRule="exact"/>
        <w:ind w:left="0" w:leftChars="0"/>
        <w:jc w:val="center"/>
        <w:rPr>
          <w:rFonts w:hint="eastAsia" w:ascii="宋体" w:hAnsi="宋体"/>
          <w:color w:val="auto"/>
          <w:szCs w:val="21"/>
          <w:highlight w:val="none"/>
          <w:lang w:val="en-US" w:eastAsia="zh-CN"/>
        </w:rPr>
      </w:pPr>
      <w:r>
        <w:rPr>
          <w:rFonts w:hint="eastAsia" w:ascii="仿宋" w:hAnsi="仿宋" w:eastAsia="仿宋"/>
          <w:sz w:val="28"/>
          <w:szCs w:val="28"/>
          <w:highlight w:val="none"/>
        </w:rPr>
        <w:drawing>
          <wp:anchor distT="0" distB="0" distL="114300" distR="114300" simplePos="0" relativeHeight="251661312" behindDoc="0" locked="0" layoutInCell="1" allowOverlap="1">
            <wp:simplePos x="0" y="0"/>
            <wp:positionH relativeFrom="column">
              <wp:posOffset>-42545</wp:posOffset>
            </wp:positionH>
            <wp:positionV relativeFrom="paragraph">
              <wp:posOffset>8890</wp:posOffset>
            </wp:positionV>
            <wp:extent cx="5273040" cy="706755"/>
            <wp:effectExtent l="0" t="0" r="3810" b="17145"/>
            <wp:wrapSquare wrapText="bothSides"/>
            <wp:docPr id="391391622" name="图片 391391622" descr="1715052146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391622" name="图片 391391622" descr="1715052146446"/>
                    <pic:cNvPicPr>
                      <a:picLocks noChangeAspect="1"/>
                    </pic:cNvPicPr>
                  </pic:nvPicPr>
                  <pic:blipFill>
                    <a:blip r:embed="rId7"/>
                    <a:stretch>
                      <a:fillRect/>
                    </a:stretch>
                  </pic:blipFill>
                  <pic:spPr>
                    <a:xfrm>
                      <a:off x="0" y="0"/>
                      <a:ext cx="5273040" cy="706755"/>
                    </a:xfrm>
                    <a:prstGeom prst="rect">
                      <a:avLst/>
                    </a:prstGeom>
                  </pic:spPr>
                </pic:pic>
              </a:graphicData>
            </a:graphic>
          </wp:anchor>
        </w:drawing>
      </w:r>
      <w:r>
        <w:rPr>
          <w:rFonts w:hint="eastAsia" w:ascii="宋体" w:hAnsi="宋体" w:eastAsia="宋体"/>
          <w:color w:val="auto"/>
          <w:szCs w:val="21"/>
          <w:highlight w:val="none"/>
        </w:rPr>
        <w:t>▲</w:t>
      </w:r>
      <w:r>
        <w:rPr>
          <w:rFonts w:hint="eastAsia" w:ascii="宋体" w:hAnsi="宋体"/>
          <w:color w:val="auto"/>
          <w:szCs w:val="21"/>
          <w:highlight w:val="none"/>
          <w:lang w:val="en-US" w:eastAsia="zh-CN"/>
        </w:rPr>
        <w:t>图2</w:t>
      </w:r>
    </w:p>
    <w:p w14:paraId="7A8CEA5E">
      <w:pPr>
        <w:numPr>
          <w:ilvl w:val="0"/>
          <w:numId w:val="0"/>
        </w:numPr>
        <w:spacing w:line="400" w:lineRule="exact"/>
        <w:ind w:left="0" w:leftChars="0"/>
        <w:jc w:val="center"/>
        <w:rPr>
          <w:rFonts w:hint="eastAsia" w:ascii="宋体" w:hAnsi="宋体"/>
          <w:color w:val="auto"/>
          <w:szCs w:val="21"/>
          <w:highlight w:val="none"/>
          <w:lang w:val="en-US" w:eastAsia="zh-CN"/>
        </w:rPr>
      </w:pPr>
      <w:r>
        <w:rPr>
          <w:rFonts w:hint="eastAsia" w:ascii="宋体" w:hAnsi="宋体" w:eastAsia="宋体"/>
          <w:color w:val="auto"/>
          <w:szCs w:val="21"/>
          <w:highlight w:val="none"/>
        </w:rPr>
        <w:drawing>
          <wp:anchor distT="0" distB="0" distL="114300" distR="114300" simplePos="0" relativeHeight="251660288" behindDoc="0" locked="0" layoutInCell="1" allowOverlap="1">
            <wp:simplePos x="0" y="0"/>
            <wp:positionH relativeFrom="column">
              <wp:posOffset>-18415</wp:posOffset>
            </wp:positionH>
            <wp:positionV relativeFrom="paragraph">
              <wp:posOffset>186055</wp:posOffset>
            </wp:positionV>
            <wp:extent cx="5262245" cy="414020"/>
            <wp:effectExtent l="0" t="0" r="14605" b="5080"/>
            <wp:wrapTopAndBottom/>
            <wp:docPr id="7" name="图片 7" descr="1715052086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15052086161"/>
                    <pic:cNvPicPr>
                      <a:picLocks noChangeAspect="1"/>
                    </pic:cNvPicPr>
                  </pic:nvPicPr>
                  <pic:blipFill>
                    <a:blip r:embed="rId8"/>
                    <a:stretch>
                      <a:fillRect/>
                    </a:stretch>
                  </pic:blipFill>
                  <pic:spPr>
                    <a:xfrm>
                      <a:off x="0" y="0"/>
                      <a:ext cx="5262245" cy="414020"/>
                    </a:xfrm>
                    <a:prstGeom prst="rect">
                      <a:avLst/>
                    </a:prstGeom>
                  </pic:spPr>
                </pic:pic>
              </a:graphicData>
            </a:graphic>
          </wp:anchor>
        </w:drawing>
      </w:r>
      <w:r>
        <w:rPr>
          <w:rFonts w:hint="eastAsia" w:ascii="宋体" w:hAnsi="宋体" w:eastAsia="宋体"/>
          <w:color w:val="auto"/>
          <w:szCs w:val="21"/>
          <w:highlight w:val="none"/>
        </w:rPr>
        <w:t>▲</w:t>
      </w:r>
      <w:r>
        <w:rPr>
          <w:rFonts w:hint="eastAsia" w:ascii="宋体" w:hAnsi="宋体"/>
          <w:color w:val="auto"/>
          <w:szCs w:val="21"/>
          <w:highlight w:val="none"/>
          <w:lang w:val="en-US" w:eastAsia="zh-CN"/>
        </w:rPr>
        <w:t>图3</w:t>
      </w:r>
    </w:p>
    <w:p w14:paraId="36A05273">
      <w:pPr>
        <w:keepNext w:val="0"/>
        <w:keepLines w:val="0"/>
        <w:pageBreakBefore w:val="0"/>
        <w:widowControl/>
        <w:numPr>
          <w:ilvl w:val="1"/>
          <w:numId w:val="0"/>
        </w:numPr>
        <w:kinsoku/>
        <w:overflowPunct/>
        <w:topLinePunct w:val="0"/>
        <w:autoSpaceDE/>
        <w:autoSpaceDN/>
        <w:bidi w:val="0"/>
        <w:snapToGrid w:val="0"/>
        <w:spacing w:line="360" w:lineRule="auto"/>
        <w:ind w:left="0" w:leftChars="0" w:firstLine="0" w:firstLineChars="0"/>
        <w:jc w:val="both"/>
        <w:textAlignment w:val="auto"/>
        <w:rPr>
          <w:rFonts w:hint="eastAsia" w:ascii="宋体" w:hAnsi="宋体"/>
          <w:color w:val="0000FF"/>
          <w:szCs w:val="21"/>
          <w:highlight w:val="none"/>
          <w:lang w:val="en-US" w:eastAsia="zh-CN"/>
        </w:rPr>
      </w:pPr>
    </w:p>
    <w:p w14:paraId="4C81517E">
      <w:pPr>
        <w:keepNext w:val="0"/>
        <w:keepLines w:val="0"/>
        <w:pageBreakBefore w:val="0"/>
        <w:widowControl/>
        <w:kinsoku/>
        <w:overflowPunct/>
        <w:topLinePunct w:val="0"/>
        <w:autoSpaceDE/>
        <w:autoSpaceDN/>
        <w:bidi w:val="0"/>
        <w:snapToGrid w:val="0"/>
        <w:spacing w:line="360" w:lineRule="auto"/>
        <w:ind w:left="0" w:leftChars="0" w:firstLine="422" w:firstLineChars="200"/>
        <w:jc w:val="both"/>
        <w:textAlignment w:val="auto"/>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三、获取采购文件方式及要求：</w:t>
      </w:r>
    </w:p>
    <w:p w14:paraId="3B01AB41">
      <w:pPr>
        <w:keepNext w:val="0"/>
        <w:keepLines w:val="0"/>
        <w:pageBreakBefore w:val="0"/>
        <w:widowControl/>
        <w:kinsoku/>
        <w:wordWrap w:val="0"/>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本项目不进行实名登记报名，拟参加投标的投标人可于投标截止时间前自行网上下载采购文件。采购文件下载地址：</w:t>
      </w:r>
      <w:r>
        <w:rPr>
          <w:rFonts w:hint="eastAsia" w:asciiTheme="minorEastAsia" w:hAnsiTheme="minorEastAsia" w:eastAsiaTheme="minorEastAsia" w:cstheme="minorEastAsia"/>
          <w:color w:val="auto"/>
          <w:szCs w:val="21"/>
          <w:highlight w:val="none"/>
          <w:u w:val="single"/>
        </w:rPr>
        <w:t>中国招标投标公共服务平台（http://www.cebpubservice.com/）、广东省公共资源交易平台（https://ygp.gdzwfw.gov.cn/#/44/index）、东莞实业投资控股集团有限公司网站（网址：http://www.dgsy.com.cn/）、广东东实环境股份有限公司招采平台(https://pur.yonyou.com/DGDSXNY)、代理公司官网</w:t>
      </w:r>
      <w:r>
        <w:rPr>
          <w:rFonts w:hint="eastAsia" w:asciiTheme="minorEastAsia" w:hAnsiTheme="minorEastAsia" w:eastAsiaTheme="minorEastAsia" w:cstheme="minorEastAsia"/>
          <w:color w:val="auto"/>
          <w:szCs w:val="21"/>
          <w:highlight w:val="none"/>
          <w:u w:val="single"/>
          <w:lang w:eastAsia="zh-CN"/>
        </w:rPr>
        <w:t>（</w:t>
      </w:r>
      <w:r>
        <w:rPr>
          <w:rFonts w:hint="eastAsia" w:asciiTheme="minorEastAsia" w:hAnsiTheme="minorEastAsia" w:eastAsiaTheme="minorEastAsia" w:cstheme="minorEastAsia"/>
          <w:color w:val="auto"/>
          <w:szCs w:val="21"/>
          <w:highlight w:val="none"/>
          <w:u w:val="single"/>
        </w:rPr>
        <w:t>https://www.jianhanzx.com/</w:t>
      </w:r>
      <w:r>
        <w:rPr>
          <w:rFonts w:hint="eastAsia" w:asciiTheme="minorEastAsia" w:hAnsiTheme="minorEastAsia" w:eastAsiaTheme="minorEastAsia" w:cstheme="minorEastAsia"/>
          <w:color w:val="auto"/>
          <w:szCs w:val="21"/>
          <w:highlight w:val="none"/>
          <w:u w:val="single"/>
          <w:lang w:eastAsia="zh-CN"/>
        </w:rPr>
        <w:t>）</w:t>
      </w:r>
      <w:r>
        <w:rPr>
          <w:rFonts w:hint="eastAsia" w:asciiTheme="minorEastAsia" w:hAnsiTheme="minorEastAsia" w:eastAsiaTheme="minorEastAsia" w:cstheme="minorEastAsia"/>
          <w:color w:val="auto"/>
          <w:szCs w:val="21"/>
          <w:highlight w:val="none"/>
        </w:rPr>
        <w:t>。</w:t>
      </w:r>
    </w:p>
    <w:p w14:paraId="05985BD1">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Cs w:val="21"/>
          <w:highlight w:val="none"/>
        </w:rPr>
      </w:pPr>
    </w:p>
    <w:p w14:paraId="4C06F2E5">
      <w:pPr>
        <w:keepNext w:val="0"/>
        <w:keepLines w:val="0"/>
        <w:pageBreakBefore w:val="0"/>
        <w:widowControl/>
        <w:kinsoku/>
        <w:overflowPunct/>
        <w:topLinePunct w:val="0"/>
        <w:autoSpaceDE/>
        <w:autoSpaceDN/>
        <w:bidi w:val="0"/>
        <w:snapToGrid w:val="0"/>
        <w:spacing w:line="360" w:lineRule="auto"/>
        <w:ind w:left="0" w:leftChars="0" w:firstLine="422" w:firstLineChars="200"/>
        <w:jc w:val="both"/>
        <w:textAlignment w:val="auto"/>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四、投标文件的递交</w:t>
      </w:r>
    </w:p>
    <w:p w14:paraId="286D8E38">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1、递交投标文件时间：</w:t>
      </w:r>
      <w:r>
        <w:rPr>
          <w:rFonts w:hint="eastAsia" w:asciiTheme="minorEastAsia" w:hAnsiTheme="minorEastAsia" w:eastAsiaTheme="minorEastAsia" w:cstheme="minorEastAsia"/>
          <w:color w:val="auto"/>
          <w:szCs w:val="21"/>
          <w:highlight w:val="none"/>
          <w:u w:val="single"/>
          <w:lang w:val="en-US" w:eastAsia="zh-CN"/>
        </w:rPr>
        <w:t>2025</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lang w:val="en-US" w:eastAsia="zh-CN"/>
        </w:rPr>
        <w:t>06</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lang w:val="en-US" w:eastAsia="zh-CN"/>
        </w:rPr>
        <w:t>12</w:t>
      </w:r>
      <w:r>
        <w:rPr>
          <w:rFonts w:hint="eastAsia" w:asciiTheme="minorEastAsia" w:hAnsiTheme="minorEastAsia" w:eastAsiaTheme="minorEastAsia" w:cstheme="minorEastAsia"/>
          <w:color w:val="auto"/>
          <w:szCs w:val="21"/>
          <w:highlight w:val="none"/>
        </w:rPr>
        <w:t>日（北京时间）</w:t>
      </w:r>
      <w:r>
        <w:rPr>
          <w:rFonts w:hint="eastAsia" w:asciiTheme="minorEastAsia" w:hAnsiTheme="minorEastAsia" w:eastAsiaTheme="minorEastAsia" w:cstheme="minorEastAsia"/>
          <w:color w:val="auto"/>
          <w:szCs w:val="21"/>
          <w:highlight w:val="none"/>
          <w:u w:val="single"/>
          <w:lang w:val="en-US" w:eastAsia="zh-CN"/>
        </w:rPr>
        <w:t>09</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lang w:val="en-US" w:eastAsia="zh-CN"/>
        </w:rPr>
        <w:t>30</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lang w:val="en-US" w:eastAsia="zh-CN"/>
        </w:rPr>
        <w:t>10</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lang w:val="en-US" w:eastAsia="zh-CN"/>
        </w:rPr>
        <w:t>00</w:t>
      </w:r>
      <w:r>
        <w:rPr>
          <w:rFonts w:hint="eastAsia" w:asciiTheme="minorEastAsia" w:hAnsiTheme="minorEastAsia" w:eastAsiaTheme="minorEastAsia" w:cstheme="minorEastAsia"/>
          <w:color w:val="auto"/>
          <w:szCs w:val="21"/>
          <w:highlight w:val="none"/>
        </w:rPr>
        <w:t>。</w:t>
      </w:r>
    </w:p>
    <w:p w14:paraId="263A2735">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color w:val="auto"/>
          <w:szCs w:val="21"/>
          <w:highlight w:val="none"/>
        </w:rPr>
        <w:t>2、递交投标文件截止及开标时间：</w:t>
      </w:r>
      <w:r>
        <w:rPr>
          <w:rFonts w:hint="eastAsia" w:asciiTheme="minorEastAsia" w:hAnsiTheme="minorEastAsia" w:eastAsiaTheme="minorEastAsia" w:cstheme="minorEastAsia"/>
          <w:color w:val="auto"/>
          <w:szCs w:val="21"/>
          <w:highlight w:val="none"/>
          <w:u w:val="single"/>
          <w:lang w:val="en-US" w:eastAsia="zh-CN"/>
        </w:rPr>
        <w:t>2025</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lang w:val="en-US" w:eastAsia="zh-CN"/>
        </w:rPr>
        <w:t xml:space="preserve"> 06</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lang w:val="en-US" w:eastAsia="zh-CN"/>
        </w:rPr>
        <w:t>12</w:t>
      </w:r>
      <w:r>
        <w:rPr>
          <w:rFonts w:hint="eastAsia" w:asciiTheme="minorEastAsia" w:hAnsiTheme="minorEastAsia" w:eastAsiaTheme="minorEastAsia" w:cstheme="minorEastAsia"/>
          <w:color w:val="auto"/>
          <w:szCs w:val="21"/>
          <w:highlight w:val="none"/>
        </w:rPr>
        <w:t>日</w:t>
      </w:r>
      <w:r>
        <w:rPr>
          <w:rFonts w:hint="eastAsia" w:asciiTheme="minorEastAsia" w:hAnsiTheme="minorEastAsia" w:eastAsiaTheme="minorEastAsia" w:cstheme="minorEastAsia"/>
          <w:color w:val="auto"/>
          <w:szCs w:val="21"/>
          <w:highlight w:val="none"/>
          <w:u w:val="single"/>
          <w:lang w:val="en-US" w:eastAsia="zh-CN"/>
        </w:rPr>
        <w:t>10</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lang w:val="en-US" w:eastAsia="zh-CN"/>
        </w:rPr>
        <w:t>00</w:t>
      </w:r>
      <w:r>
        <w:rPr>
          <w:rFonts w:hint="eastAsia" w:asciiTheme="minorEastAsia" w:hAnsiTheme="minorEastAsia" w:eastAsiaTheme="minorEastAsia" w:cstheme="minorEastAsia"/>
          <w:color w:val="auto"/>
          <w:szCs w:val="21"/>
          <w:highlight w:val="none"/>
        </w:rPr>
        <w:t>（北京时间），所有投标文件应于截止时间之前递交，迟交或以电报、传真形式的投标文件将拒绝接收。</w:t>
      </w:r>
    </w:p>
    <w:p w14:paraId="4123D0F6">
      <w:pPr>
        <w:keepNext w:val="0"/>
        <w:keepLines w:val="0"/>
        <w:pageBreakBefore w:val="0"/>
        <w:widowControl/>
        <w:kinsoku/>
        <w:overflowPunct/>
        <w:topLinePunct w:val="0"/>
        <w:autoSpaceDE/>
        <w:autoSpaceDN/>
        <w:bidi w:val="0"/>
        <w:snapToGrid w:val="0"/>
        <w:spacing w:line="360" w:lineRule="auto"/>
        <w:ind w:left="399" w:leftChars="190" w:firstLine="0" w:firstLineChars="0"/>
        <w:jc w:val="both"/>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3、开标地点：</w:t>
      </w:r>
      <w:r>
        <w:rPr>
          <w:rFonts w:hint="eastAsia" w:asciiTheme="minorEastAsia" w:hAnsiTheme="minorEastAsia" w:eastAsiaTheme="minorEastAsia" w:cstheme="minorEastAsia"/>
          <w:color w:val="auto"/>
          <w:szCs w:val="21"/>
          <w:highlight w:val="none"/>
          <w:u w:val="single"/>
        </w:rPr>
        <w:t xml:space="preserve"> 东莞市南城区西平社区宏伟三路45号东莞市公共资源交易中心开标</w:t>
      </w:r>
      <w:bookmarkStart w:id="0" w:name="_GoBack"/>
      <w:bookmarkEnd w:id="0"/>
      <w:r>
        <w:rPr>
          <w:rFonts w:hint="eastAsia" w:asciiTheme="minorEastAsia" w:hAnsiTheme="minorEastAsia" w:eastAsiaTheme="minorEastAsia" w:cstheme="minorEastAsia"/>
          <w:color w:val="auto"/>
          <w:szCs w:val="21"/>
          <w:highlight w:val="none"/>
          <w:u w:val="single"/>
          <w:lang w:val="en-US" w:eastAsia="zh-CN"/>
        </w:rPr>
        <w:t>13</w:t>
      </w:r>
      <w:r>
        <w:rPr>
          <w:rFonts w:hint="eastAsia" w:asciiTheme="minorEastAsia" w:hAnsiTheme="minorEastAsia" w:eastAsiaTheme="minorEastAsia" w:cstheme="minorEastAsia"/>
          <w:color w:val="auto"/>
          <w:szCs w:val="21"/>
          <w:highlight w:val="none"/>
          <w:u w:val="single"/>
        </w:rPr>
        <w:t>室。</w:t>
      </w:r>
    </w:p>
    <w:p w14:paraId="1498A143">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4、开标事宜：</w:t>
      </w:r>
      <w:r>
        <w:rPr>
          <w:rFonts w:hint="eastAsia" w:asciiTheme="minorEastAsia" w:hAnsiTheme="minorEastAsia" w:eastAsiaTheme="minorEastAsia" w:cstheme="minorEastAsia"/>
          <w:b/>
          <w:bCs/>
          <w:color w:val="auto"/>
          <w:szCs w:val="21"/>
          <w:highlight w:val="none"/>
        </w:rPr>
        <w:t>届时请投标人的法定代表人或其授权代表务必携带有效身份证明出席开标会</w:t>
      </w:r>
      <w:r>
        <w:rPr>
          <w:rFonts w:hint="eastAsia" w:asciiTheme="minorEastAsia" w:hAnsiTheme="minorEastAsia" w:eastAsiaTheme="minorEastAsia" w:cstheme="minorEastAsia"/>
          <w:bCs/>
          <w:color w:val="auto"/>
          <w:szCs w:val="21"/>
          <w:highlight w:val="none"/>
        </w:rPr>
        <w:t>。</w:t>
      </w:r>
    </w:p>
    <w:p w14:paraId="3C43C301">
      <w:pPr>
        <w:pStyle w:val="5"/>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5、出现以下情形时，采购代理机构不予接收投标（响应）文件：</w:t>
      </w:r>
    </w:p>
    <w:p w14:paraId="70B2F861">
      <w:pPr>
        <w:pStyle w:val="5"/>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（1）逾期送达或者未送达指定地点的；</w:t>
      </w:r>
    </w:p>
    <w:p w14:paraId="73D540E3">
      <w:pPr>
        <w:pStyle w:val="5"/>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（2）未按采购文件要求密封的。</w:t>
      </w:r>
    </w:p>
    <w:p w14:paraId="30D90A62">
      <w:pPr>
        <w:pStyle w:val="5"/>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 w:val="21"/>
          <w:szCs w:val="21"/>
          <w:highlight w:val="none"/>
        </w:rPr>
      </w:pPr>
    </w:p>
    <w:p w14:paraId="2E910961">
      <w:pPr>
        <w:pStyle w:val="5"/>
        <w:keepNext w:val="0"/>
        <w:keepLines w:val="0"/>
        <w:pageBreakBefore w:val="0"/>
        <w:widowControl/>
        <w:kinsoku/>
        <w:overflowPunct/>
        <w:topLinePunct w:val="0"/>
        <w:autoSpaceDE/>
        <w:autoSpaceDN/>
        <w:bidi w:val="0"/>
        <w:snapToGrid w:val="0"/>
        <w:spacing w:line="360" w:lineRule="auto"/>
        <w:ind w:left="0" w:leftChars="0" w:firstLine="422" w:firstLineChars="200"/>
        <w:jc w:val="both"/>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五、发布公告的媒介</w:t>
      </w:r>
    </w:p>
    <w:p w14:paraId="4210DEE8">
      <w:pPr>
        <w:pStyle w:val="5"/>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1、采购公告发布媒介：</w:t>
      </w:r>
    </w:p>
    <w:p w14:paraId="6E302D10">
      <w:pPr>
        <w:pStyle w:val="5"/>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u w:val="single"/>
        </w:rPr>
        <w:t>中国招标投标公共服务平台（http://www.cebpubservice.com/）、广东省公共资源交易平台（https://ygp.gdzwfw.gov.cn/#/44/index）、东莞实业投资控股集团有限公司网站（网址：http://www.dgsy.com.cn/）、广东东实环境股份有限公司招采平台(https://pur.yonyou.com/DGDSXNY)、代理公司官网</w:t>
      </w:r>
      <w:r>
        <w:rPr>
          <w:rFonts w:hint="eastAsia" w:asciiTheme="minorEastAsia" w:hAnsiTheme="minorEastAsia" w:eastAsiaTheme="minorEastAsia" w:cstheme="minorEastAsia"/>
          <w:color w:val="auto"/>
          <w:sz w:val="21"/>
          <w:szCs w:val="21"/>
          <w:highlight w:val="none"/>
          <w:u w:val="single"/>
          <w:lang w:eastAsia="zh-CN"/>
        </w:rPr>
        <w:t>（</w:t>
      </w:r>
      <w:r>
        <w:rPr>
          <w:rFonts w:hint="eastAsia" w:asciiTheme="minorEastAsia" w:hAnsiTheme="minorEastAsia" w:eastAsiaTheme="minorEastAsia" w:cstheme="minorEastAsia"/>
          <w:color w:val="auto"/>
          <w:sz w:val="21"/>
          <w:szCs w:val="21"/>
          <w:highlight w:val="none"/>
          <w:u w:val="single"/>
        </w:rPr>
        <w:t>https://www.jianhanzx.com/</w:t>
      </w:r>
      <w:r>
        <w:rPr>
          <w:rFonts w:hint="eastAsia" w:asciiTheme="minorEastAsia" w:hAnsiTheme="minorEastAsia" w:eastAsiaTheme="minorEastAsia" w:cstheme="minorEastAsia"/>
          <w:color w:val="auto"/>
          <w:sz w:val="21"/>
          <w:szCs w:val="21"/>
          <w:highlight w:val="none"/>
          <w:u w:val="single"/>
          <w:lang w:eastAsia="zh-CN"/>
        </w:rPr>
        <w:t>）</w:t>
      </w:r>
      <w:r>
        <w:rPr>
          <w:rFonts w:hint="eastAsia" w:asciiTheme="minorEastAsia" w:hAnsiTheme="minorEastAsia" w:eastAsiaTheme="minorEastAsia" w:cstheme="minorEastAsia"/>
          <w:color w:val="auto"/>
          <w:sz w:val="21"/>
          <w:szCs w:val="21"/>
          <w:highlight w:val="none"/>
        </w:rPr>
        <w:t>。</w:t>
      </w:r>
    </w:p>
    <w:p w14:paraId="747A51EE">
      <w:pPr>
        <w:pStyle w:val="5"/>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2、结果公告发布媒介：</w:t>
      </w:r>
    </w:p>
    <w:p w14:paraId="3C30802C">
      <w:pPr>
        <w:pStyle w:val="5"/>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color w:val="auto"/>
          <w:sz w:val="21"/>
          <w:szCs w:val="21"/>
          <w:highlight w:val="none"/>
        </w:rPr>
        <w:t>东莞实业投资控股集团有限公司-招标采购栏目（http://www.dgsy.com.cn/），广东东实环境股份有限公司招采平台(https://pur.yonyou.com/DGDSXNY)。</w:t>
      </w:r>
    </w:p>
    <w:p w14:paraId="0B74955A">
      <w:pPr>
        <w:keepNext w:val="0"/>
        <w:keepLines w:val="0"/>
        <w:pageBreakBefore w:val="0"/>
        <w:widowControl/>
        <w:kinsoku/>
        <w:overflowPunct/>
        <w:topLinePunct w:val="0"/>
        <w:autoSpaceDE/>
        <w:autoSpaceDN/>
        <w:bidi w:val="0"/>
        <w:snapToGrid w:val="0"/>
        <w:spacing w:line="360" w:lineRule="auto"/>
        <w:ind w:left="0" w:leftChars="0" w:firstLine="422" w:firstLineChars="200"/>
        <w:jc w:val="both"/>
        <w:textAlignment w:val="auto"/>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
          <w:color w:val="auto"/>
          <w:szCs w:val="21"/>
          <w:highlight w:val="none"/>
        </w:rPr>
        <w:t>六、采购人及采购代理机构的名称、地址和联系方法：</w:t>
      </w:r>
    </w:p>
    <w:p w14:paraId="3890DB1F">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采购人名称：</w:t>
      </w:r>
      <w:r>
        <w:rPr>
          <w:rFonts w:hint="eastAsia" w:asciiTheme="minorEastAsia" w:hAnsiTheme="minorEastAsia" w:eastAsiaTheme="minorEastAsia" w:cstheme="minorEastAsia"/>
          <w:color w:val="auto"/>
          <w:szCs w:val="21"/>
          <w:highlight w:val="none"/>
        </w:rPr>
        <w:t>东莞市新东欣环保投资有限公司</w:t>
      </w:r>
    </w:p>
    <w:p w14:paraId="43DB3CBD">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采购人联系人：</w:t>
      </w:r>
      <w:r>
        <w:rPr>
          <w:rFonts w:hint="eastAsia" w:asciiTheme="minorEastAsia" w:hAnsiTheme="minorEastAsia" w:eastAsiaTheme="minorEastAsia" w:cstheme="minorEastAsia"/>
          <w:color w:val="auto"/>
          <w:szCs w:val="21"/>
          <w:highlight w:val="none"/>
          <w:lang w:val="en-US" w:eastAsia="zh-CN"/>
        </w:rPr>
        <w:t>杜先生</w:t>
      </w:r>
      <w:r>
        <w:rPr>
          <w:rFonts w:hint="eastAsia" w:asciiTheme="minorEastAsia" w:hAnsiTheme="minorEastAsia" w:eastAsiaTheme="minorEastAsia" w:cstheme="minorEastAsia"/>
          <w:bCs/>
          <w:color w:val="auto"/>
          <w:szCs w:val="21"/>
          <w:highlight w:val="none"/>
        </w:rPr>
        <w:t xml:space="preserve"> </w:t>
      </w:r>
    </w:p>
    <w:p w14:paraId="3DF53033">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采购人地址：</w:t>
      </w:r>
      <w:r>
        <w:rPr>
          <w:rFonts w:hint="eastAsia" w:asciiTheme="minorEastAsia" w:hAnsiTheme="minorEastAsia" w:eastAsiaTheme="minorEastAsia" w:cstheme="minorEastAsia"/>
          <w:color w:val="auto"/>
          <w:szCs w:val="21"/>
          <w:highlight w:val="none"/>
        </w:rPr>
        <w:t>广东省东莞市麻涌镇海心沙路1号</w:t>
      </w:r>
    </w:p>
    <w:p w14:paraId="5F34B4B7">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采购人联系电话：</w:t>
      </w:r>
      <w:r>
        <w:rPr>
          <w:rFonts w:hint="eastAsia" w:asciiTheme="minorEastAsia" w:hAnsiTheme="minorEastAsia" w:eastAsiaTheme="minorEastAsia" w:cstheme="minorEastAsia"/>
          <w:color w:val="auto"/>
          <w:szCs w:val="21"/>
          <w:highlight w:val="none"/>
        </w:rPr>
        <w:t>0769-39028733</w:t>
      </w:r>
      <w:r>
        <w:rPr>
          <w:rFonts w:hint="eastAsia" w:asciiTheme="minorEastAsia" w:hAnsiTheme="minorEastAsia" w:eastAsiaTheme="minorEastAsia" w:cstheme="minorEastAsia"/>
          <w:color w:val="auto"/>
          <w:sz w:val="21"/>
          <w:szCs w:val="21"/>
          <w:highlight w:val="none"/>
        </w:rPr>
        <w:t xml:space="preserve"> </w:t>
      </w:r>
    </w:p>
    <w:p w14:paraId="5A9CF659">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Cs w:val="21"/>
          <w:highlight w:val="none"/>
        </w:rPr>
      </w:pPr>
    </w:p>
    <w:p w14:paraId="7DE5B2AD">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采购代理机构名称：广东建瀚工程管理有限公司</w:t>
      </w:r>
    </w:p>
    <w:p w14:paraId="5696A72B">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采购代理机构地址：东莞市南城街道莞太路31号兴业金融大厦806#</w:t>
      </w:r>
    </w:p>
    <w:p w14:paraId="5B3ACF03">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采购代理机构联系人：叶工</w:t>
      </w:r>
    </w:p>
    <w:p w14:paraId="7E8A3C77">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采购代理机构联系电话： 0769-26987588</w:t>
      </w:r>
    </w:p>
    <w:p w14:paraId="13BBBFCA">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采购代理机构邮箱： </w:t>
      </w:r>
      <w:r>
        <w:rPr>
          <w:rFonts w:hint="eastAsia" w:asciiTheme="minorEastAsia" w:hAnsiTheme="minorEastAsia" w:eastAsiaTheme="minorEastAsia" w:cstheme="minorEastAsia"/>
          <w:color w:val="auto"/>
          <w:szCs w:val="21"/>
          <w:highlight w:val="none"/>
          <w:lang w:val="en-US" w:eastAsia="zh-CN"/>
        </w:rPr>
        <w:t>1173727722@qq.com</w:t>
      </w:r>
    </w:p>
    <w:p w14:paraId="3625C058">
      <w:pPr>
        <w:keepNext w:val="0"/>
        <w:keepLines w:val="0"/>
        <w:pageBreakBefore w:val="0"/>
        <w:widowControl/>
        <w:kinsoku/>
        <w:overflowPunct/>
        <w:topLinePunct w:val="0"/>
        <w:autoSpaceDE/>
        <w:autoSpaceDN/>
        <w:bidi w:val="0"/>
        <w:snapToGrid w:val="0"/>
        <w:spacing w:line="360" w:lineRule="auto"/>
        <w:ind w:left="0" w:leftChars="0" w:firstLine="420" w:firstLineChars="200"/>
        <w:jc w:val="both"/>
        <w:textAlignment w:val="auto"/>
        <w:rPr>
          <w:color w:val="auto"/>
          <w:highlight w:val="none"/>
        </w:rPr>
      </w:pPr>
    </w:p>
    <w:p w14:paraId="145D9A0C">
      <w:pPr>
        <w:ind w:firstLine="420" w:firstLineChars="200"/>
        <w:rPr>
          <w:color w:val="auto"/>
          <w:highlight w:val="none"/>
        </w:rPr>
      </w:pPr>
    </w:p>
    <w:p w14:paraId="41E63574">
      <w:pPr>
        <w:ind w:right="752" w:rightChars="358"/>
        <w:jc w:val="both"/>
        <w:rPr>
          <w:rFonts w:hint="eastAsia" w:ascii="宋体" w:hAnsi="宋体"/>
          <w:color w:val="auto"/>
          <w:szCs w:val="21"/>
          <w:highlight w:val="none"/>
        </w:rPr>
      </w:pPr>
      <w:r>
        <w:rPr>
          <w:rFonts w:hint="eastAsia" w:ascii="宋体" w:hAnsi="宋体"/>
          <w:color w:val="auto"/>
          <w:szCs w:val="21"/>
          <w:highlight w:val="none"/>
        </w:rPr>
        <w:t>东莞市新东欣环保投资有限公司</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广东建瀚工程管理有限公司</w:t>
      </w:r>
    </w:p>
    <w:p w14:paraId="2A62FE84">
      <w:pPr>
        <w:ind w:left="3600" w:right="752" w:rightChars="358" w:firstLine="720"/>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20</w:t>
      </w:r>
      <w:r>
        <w:rPr>
          <w:rFonts w:hint="eastAsia" w:ascii="宋体" w:hAnsi="宋体" w:cs="宋体"/>
          <w:color w:val="auto"/>
          <w:szCs w:val="21"/>
          <w:highlight w:val="none"/>
          <w:lang w:val="en-US" w:eastAsia="zh-CN"/>
        </w:rPr>
        <w:t>25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05</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22日</w:t>
      </w:r>
    </w:p>
    <w:p w14:paraId="3029C62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书宋简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1305CA"/>
    <w:rsid w:val="6A130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360" w:lineRule="auto"/>
    </w:pPr>
    <w:rPr>
      <w:rFonts w:ascii="Tahoma" w:hAnsi="Tahoma" w:eastAsia="宋体" w:cstheme="minorBidi"/>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首行缩进"/>
    <w:basedOn w:val="1"/>
    <w:autoRedefine/>
    <w:qFormat/>
    <w:uiPriority w:val="0"/>
    <w:pPr>
      <w:adjustRightInd/>
      <w:spacing w:line="300" w:lineRule="auto"/>
      <w:ind w:firstLine="420" w:firstLineChars="200"/>
      <w:jc w:val="both"/>
    </w:pPr>
    <w:rPr>
      <w:rFonts w:ascii="Calibri" w:hAnsi="Calibri" w:eastAsia="方正书宋简体" w:cs="Times New Roman"/>
      <w:sz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2025-05-21T02:23:00Z</dcterms:created>
  <dc:creator>admin</dc:creator>
  <cp:lastModifiedBy>admin</cp:lastModifiedBy>
  <dcterms:modified xsi:type="dcterms:W3CDTF">2025-05-21T02:25:46Z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75B9E4CA8B3A40898684CC9A95D9CC77_11</vt:lpwstr>
  </property>
  <property fmtid="{D5CDD505-2E9C-101B-9397-08002B2CF9AE}" pid="4" name="KSOTemplateDocerSaveRecord">
    <vt:lpwstr>eyJoZGlkIjoiZmFlOWEyZDAxZTg0ZDU5ZGUyZjQyMTlmMzE5YmJmMDUiLCJ1c2VySWQiOiI0ODUzMzQxMzcifQ==</vt:lpwstr>
  </property>
</Properties>
</file>